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9F2AC" w14:textId="77777777" w:rsidR="00FD362C" w:rsidRPr="00F947C8" w:rsidRDefault="00FD362C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F8C6B" w14:textId="77777777" w:rsidR="009B74A5" w:rsidRPr="00F947C8" w:rsidRDefault="009B74A5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Dr. </w:t>
      </w:r>
      <w:r w:rsidR="002F4CC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________________,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B803FB" w14:textId="378C1535" w:rsidR="00F02505" w:rsidRPr="00F947C8" w:rsidRDefault="000A4CDD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yeloproliferative</w:t>
      </w:r>
      <w:proofErr w:type="spellEnd"/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blood disorder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the bone marrow makes too many blood cells</w:t>
      </w:r>
      <w:r w:rsidR="005C11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5C11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increas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C11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blood</w:t>
      </w:r>
      <w:r w:rsidR="00B21F2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6D6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viscosity and the risk of a stroke, heart attack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pulmonary embolism or </w:t>
      </w:r>
      <w:r w:rsidR="004B66D6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venous thrombosis, while also causing enlarge</w:t>
      </w:r>
      <w:r w:rsidR="005C11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 of the spleen </w:t>
      </w:r>
      <w:r w:rsidR="0004234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(splenomegaly)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6D6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4B66D6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increasing blood cell production in that organ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extramedullary</w:t>
      </w:r>
      <w:proofErr w:type="spellEnd"/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hematopoiesis)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D36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B74A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basis for the denial 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interferon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belief that it is an </w:t>
      </w:r>
      <w:r w:rsidR="009B74A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“experimental”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 of therapy for this disease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when, in fact, it is a </w:t>
      </w:r>
      <w:r w:rsidR="0031247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well-established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 of therapy 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polycythemia </w:t>
      </w:r>
      <w:proofErr w:type="spellStart"/>
      <w:proofErr w:type="gramStart"/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>vera</w:t>
      </w:r>
      <w:proofErr w:type="spellEnd"/>
      <w:proofErr w:type="gramEnd"/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3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1A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this letter is to provide you with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information on th</w:t>
      </w:r>
      <w:r w:rsidR="002F4CC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medical necessity of this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provide </w:t>
      </w:r>
      <w:r w:rsidR="0060147C">
        <w:rPr>
          <w:rFonts w:ascii="Times New Roman" w:hAnsi="Times New Roman" w:cs="Times New Roman"/>
          <w:color w:val="000000" w:themeColor="text1"/>
          <w:sz w:val="24"/>
          <w:szCs w:val="24"/>
        </w:rPr>
        <w:t>peer-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>reviewed literature to support this position,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ask that </w:t>
      </w:r>
      <w:r w:rsidR="002F4CC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interferon be covered for 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PV </w:t>
      </w:r>
      <w:r w:rsidR="00DB3E8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patients.</w:t>
      </w:r>
    </w:p>
    <w:p w14:paraId="1F7D8CE7" w14:textId="77777777" w:rsidR="00180225" w:rsidRPr="00F947C8" w:rsidRDefault="00F02505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of the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0A4C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most difficult </w:t>
      </w:r>
      <w:r w:rsidR="007801A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treat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are i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ntractable pruritus and exuberant </w:t>
      </w:r>
      <w:proofErr w:type="spellStart"/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extramedullary</w:t>
      </w:r>
      <w:proofErr w:type="spellEnd"/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hematopoiesis with intractable splenomegaly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CC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Beyond frequent phlebotomies, c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hemotherapy is o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of </w:t>
      </w:r>
      <w:r w:rsidR="007801A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few treatment options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to treat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PV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chemotherapy can permanently damage already genetically unstable 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PV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stem cells and is not always effective in controlling the </w:t>
      </w:r>
      <w:proofErr w:type="spellStart"/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extramedullary</w:t>
      </w:r>
      <w:proofErr w:type="spellEnd"/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hematopoiesis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splenomegaly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There is also a </w:t>
      </w:r>
      <w:r w:rsidR="00DB3E8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significant risk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acute myelo</w:t>
      </w:r>
      <w:r w:rsidR="00020FD0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6A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leukemia </w:t>
      </w:r>
      <w:r w:rsidR="003F46A4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exposure of PV patients to chemotherapy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plenic 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irradiation or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splenectomy has been used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treat intractable splenomegaly, 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neither is 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totally </w:t>
      </w:r>
      <w:r w:rsidR="004817A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effective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or without risk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Splenic irradiation is a temporary measure that often causes profound neutropenia leading to infectious complications, while splenectomy is associated with a variety of morbidities including intra-abdominal venous thrombosis and an increase in hepatic </w:t>
      </w:r>
      <w:proofErr w:type="spellStart"/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extramedullary</w:t>
      </w:r>
      <w:proofErr w:type="spellEnd"/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hematopoiesis and marrow blood cell production requiring chemotherapy. </w:t>
      </w:r>
    </w:p>
    <w:p w14:paraId="2E932FCB" w14:textId="77777777" w:rsidR="00CE0279" w:rsidRPr="00F947C8" w:rsidRDefault="00406E43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Interferon is one 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only forms of therapy that has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been 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conclusively shown to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effectively treat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contro</w:t>
      </w:r>
      <w:r w:rsidR="004F0F7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pruritus and alleviat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DD113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E8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splenomegaly.</w:t>
      </w:r>
      <w:r w:rsidR="00180225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By way of background, there are 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4 types of interferon:  Human leukocyte interferon (</w:t>
      </w:r>
      <w:proofErr w:type="spellStart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Multiferon</w:t>
      </w:r>
      <w:proofErr w:type="spellEnd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recombinant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interferon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(Intron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manufactured by 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Schering/Merck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 manufactured by Schering /Merck known as PEG-Intron and another PEG product manufactured by Roche known as </w:t>
      </w:r>
      <w:proofErr w:type="spellStart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Pegasys</w:t>
      </w:r>
      <w:proofErr w:type="spellEnd"/>
      <w:r w:rsidR="004A4EF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past 20 years, there have been 17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trials of the use of interferon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all 17 studies there was either a complete elimination of the need for continued phlebotomy or a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substantial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reduction in</w:t>
      </w:r>
      <w:r w:rsidR="00201AF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phlebotomy rates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studies 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show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rapid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reduction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platelet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white cell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counts,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relief of pruritus and reduction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splenomegaly.  </w:t>
      </w:r>
      <w:r w:rsidR="004C17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Furthermore, with </w:t>
      </w:r>
      <w:proofErr w:type="spellStart"/>
      <w:r w:rsidR="004C17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="004C17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</w:t>
      </w:r>
      <w:r w:rsidR="00023FBE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17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complete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durable </w:t>
      </w:r>
      <w:r w:rsidR="004C17D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hematologic and molecular remissions have been </w:t>
      </w:r>
      <w:r w:rsidR="003F496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observed. We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attached a list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journal articles describing some of these studies. </w:t>
      </w:r>
    </w:p>
    <w:p w14:paraId="5F9D4939" w14:textId="37A5CFC7" w:rsidR="00CE0279" w:rsidRPr="00F947C8" w:rsidRDefault="00E0280B" w:rsidP="005E200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leukocyte interferon is no longer used in the United States for a variety of reasons and we are not seeking coverage of this product for treatment of PV.   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here is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currently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evidence of qualitative </w:t>
      </w:r>
      <w:r w:rsidR="00092E8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differences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recombinant interferon and the two forms of </w:t>
      </w:r>
      <w:proofErr w:type="spellStart"/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(PEGIFN)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urther studies may demonstrate the advantages of a particular form of 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nterferon</w:t>
      </w:r>
      <w:r w:rsidR="0009018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; however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this time,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exist.   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</w:t>
      </w:r>
      <w:r w:rsidR="00992B62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recombinant</w:t>
      </w:r>
      <w:r w:rsidR="0060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nterferon and </w:t>
      </w:r>
      <w:r w:rsidR="00992B62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forms of PEGIFN </w:t>
      </w:r>
      <w:r w:rsidR="0099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equivalent therapies and 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should be considered medically necessary for the treatment of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CE027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9C22F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phlebotomy requirements</w:t>
      </w:r>
      <w:r w:rsidR="009C22F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intractable pruritus and/or exuberant </w:t>
      </w:r>
      <w:proofErr w:type="spellStart"/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extramedullary</w:t>
      </w:r>
      <w:proofErr w:type="spellEnd"/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hematopoiesis with intractable splenomegaly. </w:t>
      </w:r>
      <w:r w:rsidR="005E200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number of </w:t>
      </w:r>
      <w:r w:rsidR="0009018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supporting its use clearly establish that it is not an “experimental” treatment. 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Finally</w:t>
      </w:r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n this regard</w:t>
      </w:r>
      <w:r w:rsidR="003124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should also point out that recombinant interferons were widely used with success for years in a companion disorder, chronic </w:t>
      </w:r>
      <w:proofErr w:type="spellStart"/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myelogenous</w:t>
      </w:r>
      <w:proofErr w:type="spellEnd"/>
      <w:r w:rsidR="00406E4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leukemia, until targeted therapy became available for that disorder. </w:t>
      </w:r>
    </w:p>
    <w:p w14:paraId="300EFEAD" w14:textId="77777777" w:rsidR="00FF1794" w:rsidRPr="00F947C8" w:rsidRDefault="0009018A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We, therefore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ask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reconsider your current coverage policy for </w:t>
      </w:r>
      <w:r w:rsidR="00692A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interferon </w:t>
      </w:r>
      <w:r w:rsidR="00692A2C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271C9B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7C83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Based on the scientific literature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should be considered a medically necessary treatment option for patients with </w:t>
      </w:r>
      <w:proofErr w:type="gramStart"/>
      <w:r w:rsidR="0025721F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ICD-9 code</w:t>
      </w:r>
      <w:r w:rsidR="00871039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12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238.4</w:t>
      </w:r>
      <w:r w:rsidR="00CA5530">
        <w:rPr>
          <w:rFonts w:ascii="Times New Roman" w:hAnsi="Times New Roman" w:cs="Times New Roman"/>
          <w:color w:val="000000" w:themeColor="text1"/>
          <w:sz w:val="24"/>
          <w:szCs w:val="24"/>
        </w:rPr>
        <w:t>/ICD-10 code D45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The r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ecommended dos</w:t>
      </w:r>
      <w:r w:rsidR="002517A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is to </w:t>
      </w:r>
      <w:r w:rsidR="00B21F2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initiate treatment 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at 45 mcg/week escalating to 90 mcg/week or higher if the desired effects have not occurred by three months. Rarely, a patient may require as much as 180 mcg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>/week</w:t>
      </w:r>
      <w:r w:rsidR="00FF179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achieve the desired effects of the drug. 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="00DF0ED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have to </w:t>
      </w:r>
      <w:r w:rsidR="00DF0ED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 on 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DF0ED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treatment indefinitely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in others the drug can be discontinued with durable remissions and wil</w:t>
      </w:r>
      <w:r w:rsidR="008D651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</w:t>
      </w:r>
      <w:r w:rsidR="008D651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F5790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effective if a relapse should occur</w:t>
      </w:r>
      <w:r w:rsidR="00DF0ED7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22FD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The dose of Intron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recombinant 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interferon alpha-2b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initially 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1,000,000 U three times a week  and increasing to 3,000,000 U three times a week </w:t>
      </w:r>
      <w:r w:rsidR="00E2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tolerated</w:t>
      </w:r>
      <w:r w:rsidR="00150B6A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1F21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8FAECF7" w14:textId="77777777" w:rsidR="00FD362C" w:rsidRPr="00F947C8" w:rsidRDefault="00FD362C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Sincerely, </w:t>
      </w:r>
    </w:p>
    <w:p w14:paraId="1D618484" w14:textId="77777777" w:rsidR="000F1B5A" w:rsidRDefault="000F1B5A" w:rsidP="0073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258C0D" w14:textId="77777777" w:rsidR="00863FF6" w:rsidRPr="00F947C8" w:rsidRDefault="000C6208" w:rsidP="0073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947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References</w:t>
      </w:r>
    </w:p>
    <w:p w14:paraId="587AAF3B" w14:textId="77777777" w:rsidR="00BD7C83" w:rsidRPr="00F947C8" w:rsidRDefault="00863FF6" w:rsidP="0073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Kiladjian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JJ,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Cassinat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Turlure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P, et al. High molecular response rate of polycythemia </w:t>
      </w:r>
      <w:proofErr w:type="spellStart"/>
      <w:proofErr w:type="gram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vera</w:t>
      </w:r>
      <w:proofErr w:type="spellEnd"/>
      <w:proofErr w:type="gramEnd"/>
      <w:r w:rsidR="000A2CA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treated with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alpha-2a. Blood 2006; 108(6): 2037-40</w:t>
      </w:r>
      <w:r w:rsidR="000A2CA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A14279" w14:textId="77777777" w:rsidR="000A2CA4" w:rsidRPr="00F947C8" w:rsidRDefault="000A2CA4" w:rsidP="0073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00635" w14:textId="485EE52A" w:rsidR="00D02713" w:rsidRDefault="0086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Kiladjian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JJ,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Cassinat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Chevret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et al.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interferon-alfa-2a induces complete</w:t>
      </w:r>
      <w:r w:rsidR="000A2CA4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hematologic and molecular responses with low toxicity in polycythemia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vera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. Blood 2008</w:t>
      </w:r>
      <w:r w:rsidR="00A740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0" w:name="_GoBack"/>
      <w:bookmarkEnd w:id="0"/>
      <w:r w:rsidR="00127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112(8):3065-72.</w:t>
      </w:r>
    </w:p>
    <w:p w14:paraId="387AE89C" w14:textId="77777777" w:rsidR="00E26BA0" w:rsidRDefault="00E26BA0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A7BD7" w14:textId="77777777" w:rsidR="00863FF6" w:rsidRPr="00F947C8" w:rsidRDefault="00863FF6" w:rsidP="00736C3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Quintas-Cardama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et al.,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Pegylated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Interferon Alfa-2a Yields High Rates of Hematologic and </w:t>
      </w:r>
      <w:r w:rsidR="00DB3E8C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Molecular response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Patients </w:t>
      </w:r>
      <w:proofErr w:type="gram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gram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Advanced Essential </w:t>
      </w:r>
      <w:proofErr w:type="spellStart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Thrombocythemia</w:t>
      </w:r>
      <w:proofErr w:type="spellEnd"/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Polycythemia Vera.</w:t>
      </w:r>
      <w:r w:rsidR="000C6208"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>Journal of Clinical Oncology 2009</w:t>
      </w:r>
      <w:r w:rsidR="00A740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9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27(32): 5418-24.</w:t>
      </w:r>
    </w:p>
    <w:p w14:paraId="04ADD8C7" w14:textId="77777777" w:rsidR="00B72166" w:rsidRPr="00736C3A" w:rsidRDefault="00B72166" w:rsidP="00736C3A">
      <w:pPr>
        <w:pStyle w:val="Title1"/>
        <w:rPr>
          <w:color w:val="000000" w:themeColor="text1"/>
        </w:rPr>
      </w:pPr>
      <w:proofErr w:type="spellStart"/>
      <w:r w:rsidRPr="00F947C8">
        <w:rPr>
          <w:color w:val="000000" w:themeColor="text1"/>
        </w:rPr>
        <w:t>Gowin</w:t>
      </w:r>
      <w:proofErr w:type="spellEnd"/>
      <w:r w:rsidRPr="00F947C8">
        <w:rPr>
          <w:color w:val="000000" w:themeColor="text1"/>
        </w:rPr>
        <w:t xml:space="preserve"> K, </w:t>
      </w:r>
      <w:proofErr w:type="spellStart"/>
      <w:r w:rsidRPr="00F947C8">
        <w:rPr>
          <w:color w:val="000000" w:themeColor="text1"/>
        </w:rPr>
        <w:t>Thapaliya</w:t>
      </w:r>
      <w:proofErr w:type="spellEnd"/>
      <w:r w:rsidRPr="00F947C8">
        <w:rPr>
          <w:color w:val="000000" w:themeColor="text1"/>
        </w:rPr>
        <w:t xml:space="preserve"> P, Samuelsson J, et al. </w:t>
      </w:r>
      <w:hyperlink r:id="rId8" w:history="1">
        <w:r w:rsidRPr="00F947C8">
          <w:rPr>
            <w:rStyle w:val="Hyperlink"/>
            <w:color w:val="000000" w:themeColor="text1"/>
            <w:u w:val="none"/>
          </w:rPr>
          <w:t xml:space="preserve">Experience with </w:t>
        </w:r>
        <w:proofErr w:type="spellStart"/>
        <w:r w:rsidRPr="00F947C8">
          <w:rPr>
            <w:rStyle w:val="Hyperlink"/>
            <w:color w:val="000000" w:themeColor="text1"/>
            <w:u w:val="none"/>
          </w:rPr>
          <w:t>pegylated</w:t>
        </w:r>
        <w:proofErr w:type="spellEnd"/>
        <w:r w:rsidRPr="00F947C8">
          <w:rPr>
            <w:rStyle w:val="Hyperlink"/>
            <w:color w:val="000000" w:themeColor="text1"/>
            <w:u w:val="none"/>
          </w:rPr>
          <w:t xml:space="preserve"> </w:t>
        </w:r>
        <w:r w:rsidR="00A74065">
          <w:rPr>
            <w:rStyle w:val="Hyperlink"/>
            <w:bCs/>
            <w:color w:val="000000" w:themeColor="text1"/>
            <w:u w:val="none"/>
          </w:rPr>
          <w:t>i</w:t>
        </w:r>
        <w:r w:rsidRPr="00F947C8">
          <w:rPr>
            <w:rStyle w:val="Hyperlink"/>
            <w:bCs/>
            <w:color w:val="000000" w:themeColor="text1"/>
            <w:u w:val="none"/>
          </w:rPr>
          <w:t>nterferon</w:t>
        </w:r>
        <w:r w:rsidRPr="00F947C8">
          <w:rPr>
            <w:rStyle w:val="Hyperlink"/>
            <w:color w:val="000000" w:themeColor="text1"/>
            <w:u w:val="none"/>
          </w:rPr>
          <w:t xml:space="preserve"> alpha-2a in advanced </w:t>
        </w:r>
        <w:proofErr w:type="spellStart"/>
        <w:r w:rsidRPr="00F947C8">
          <w:rPr>
            <w:rStyle w:val="Hyperlink"/>
            <w:color w:val="000000" w:themeColor="text1"/>
            <w:u w:val="none"/>
          </w:rPr>
          <w:t>myeloproliferative</w:t>
        </w:r>
        <w:proofErr w:type="spellEnd"/>
        <w:r w:rsidRPr="00F947C8">
          <w:rPr>
            <w:rStyle w:val="Hyperlink"/>
            <w:color w:val="000000" w:themeColor="text1"/>
            <w:u w:val="none"/>
          </w:rPr>
          <w:t xml:space="preserve"> neoplasms in an international cohort of 118 patients.</w:t>
        </w:r>
      </w:hyperlink>
      <w:r w:rsidRPr="00F947C8">
        <w:rPr>
          <w:color w:val="000000" w:themeColor="text1"/>
        </w:rPr>
        <w:t xml:space="preserve"> </w:t>
      </w:r>
      <w:proofErr w:type="spellStart"/>
      <w:r w:rsidRPr="00F947C8">
        <w:rPr>
          <w:rStyle w:val="jrnl"/>
          <w:color w:val="000000" w:themeColor="text1"/>
        </w:rPr>
        <w:t>Haematologica</w:t>
      </w:r>
      <w:proofErr w:type="spellEnd"/>
      <w:r w:rsidRPr="00F947C8">
        <w:rPr>
          <w:color w:val="000000" w:themeColor="text1"/>
        </w:rPr>
        <w:t xml:space="preserve"> 2012</w:t>
      </w:r>
      <w:r w:rsidR="00A74065">
        <w:rPr>
          <w:color w:val="000000" w:themeColor="text1"/>
        </w:rPr>
        <w:t>;</w:t>
      </w:r>
      <w:r w:rsidRPr="00F947C8">
        <w:rPr>
          <w:color w:val="000000" w:themeColor="text1"/>
        </w:rPr>
        <w:t xml:space="preserve"> </w:t>
      </w:r>
      <w:r w:rsidR="00A74065">
        <w:rPr>
          <w:color w:val="000000" w:themeColor="text1"/>
        </w:rPr>
        <w:t>97(10): 1570-3.</w:t>
      </w:r>
    </w:p>
    <w:p w14:paraId="1C61EC76" w14:textId="77777777" w:rsidR="00B72166" w:rsidRPr="00736C3A" w:rsidRDefault="00B72166" w:rsidP="00736C3A">
      <w:pPr>
        <w:spacing w:line="240" w:lineRule="auto"/>
        <w:rPr>
          <w:rFonts w:cstheme="minorHAnsi"/>
          <w:color w:val="000000" w:themeColor="text1"/>
        </w:rPr>
      </w:pPr>
    </w:p>
    <w:sectPr w:rsidR="00B72166" w:rsidRPr="00736C3A" w:rsidSect="006A1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3F"/>
    <w:rsid w:val="00020FD0"/>
    <w:rsid w:val="00023FBE"/>
    <w:rsid w:val="0002516B"/>
    <w:rsid w:val="00042345"/>
    <w:rsid w:val="0009018A"/>
    <w:rsid w:val="00092E89"/>
    <w:rsid w:val="000A2CA4"/>
    <w:rsid w:val="000A4CDD"/>
    <w:rsid w:val="000A5F77"/>
    <w:rsid w:val="000C6208"/>
    <w:rsid w:val="000F1B5A"/>
    <w:rsid w:val="001016D4"/>
    <w:rsid w:val="00127DFB"/>
    <w:rsid w:val="00150B6A"/>
    <w:rsid w:val="001545C5"/>
    <w:rsid w:val="00174E74"/>
    <w:rsid w:val="00175F17"/>
    <w:rsid w:val="00180225"/>
    <w:rsid w:val="001C3054"/>
    <w:rsid w:val="001D6C30"/>
    <w:rsid w:val="001E4A0B"/>
    <w:rsid w:val="001E635B"/>
    <w:rsid w:val="00201AFA"/>
    <w:rsid w:val="00231956"/>
    <w:rsid w:val="002517A8"/>
    <w:rsid w:val="0025721F"/>
    <w:rsid w:val="00271C9B"/>
    <w:rsid w:val="00283918"/>
    <w:rsid w:val="002E01A1"/>
    <w:rsid w:val="002F4CC3"/>
    <w:rsid w:val="00312475"/>
    <w:rsid w:val="003F46A4"/>
    <w:rsid w:val="003F496C"/>
    <w:rsid w:val="00406E43"/>
    <w:rsid w:val="0045711A"/>
    <w:rsid w:val="004817AF"/>
    <w:rsid w:val="00481E74"/>
    <w:rsid w:val="004A3CEB"/>
    <w:rsid w:val="004A4EF1"/>
    <w:rsid w:val="004B66D6"/>
    <w:rsid w:val="004C1210"/>
    <w:rsid w:val="004C17DD"/>
    <w:rsid w:val="004F0F7C"/>
    <w:rsid w:val="00510182"/>
    <w:rsid w:val="00520FDD"/>
    <w:rsid w:val="0052760E"/>
    <w:rsid w:val="005C112C"/>
    <w:rsid w:val="005E2007"/>
    <w:rsid w:val="0060147C"/>
    <w:rsid w:val="006120A8"/>
    <w:rsid w:val="00626511"/>
    <w:rsid w:val="006316A2"/>
    <w:rsid w:val="0069298A"/>
    <w:rsid w:val="00692A2C"/>
    <w:rsid w:val="00693272"/>
    <w:rsid w:val="006A179C"/>
    <w:rsid w:val="00713C64"/>
    <w:rsid w:val="00736C3A"/>
    <w:rsid w:val="00757D8E"/>
    <w:rsid w:val="007801AA"/>
    <w:rsid w:val="007956D7"/>
    <w:rsid w:val="00845B6E"/>
    <w:rsid w:val="00863FF6"/>
    <w:rsid w:val="00871039"/>
    <w:rsid w:val="008D6110"/>
    <w:rsid w:val="008D6517"/>
    <w:rsid w:val="00923840"/>
    <w:rsid w:val="009243C5"/>
    <w:rsid w:val="00992B62"/>
    <w:rsid w:val="009B74A5"/>
    <w:rsid w:val="009C22FD"/>
    <w:rsid w:val="009F7E57"/>
    <w:rsid w:val="00A02071"/>
    <w:rsid w:val="00A33952"/>
    <w:rsid w:val="00A42CFF"/>
    <w:rsid w:val="00A74065"/>
    <w:rsid w:val="00A944E1"/>
    <w:rsid w:val="00A9614B"/>
    <w:rsid w:val="00B21196"/>
    <w:rsid w:val="00B21F21"/>
    <w:rsid w:val="00B24E29"/>
    <w:rsid w:val="00B40060"/>
    <w:rsid w:val="00B527A9"/>
    <w:rsid w:val="00B66824"/>
    <w:rsid w:val="00B72166"/>
    <w:rsid w:val="00BD7C83"/>
    <w:rsid w:val="00BF5790"/>
    <w:rsid w:val="00C01AFA"/>
    <w:rsid w:val="00C15587"/>
    <w:rsid w:val="00C77295"/>
    <w:rsid w:val="00CA5530"/>
    <w:rsid w:val="00CE0279"/>
    <w:rsid w:val="00D02713"/>
    <w:rsid w:val="00D224F8"/>
    <w:rsid w:val="00D52994"/>
    <w:rsid w:val="00D62F1C"/>
    <w:rsid w:val="00D8089F"/>
    <w:rsid w:val="00DB3E8C"/>
    <w:rsid w:val="00DD113F"/>
    <w:rsid w:val="00DF0ED7"/>
    <w:rsid w:val="00E0280B"/>
    <w:rsid w:val="00E10BE2"/>
    <w:rsid w:val="00E26BA0"/>
    <w:rsid w:val="00EB78D9"/>
    <w:rsid w:val="00ED254B"/>
    <w:rsid w:val="00ED439F"/>
    <w:rsid w:val="00EE1C90"/>
    <w:rsid w:val="00F02505"/>
    <w:rsid w:val="00F947C8"/>
    <w:rsid w:val="00FD362C"/>
    <w:rsid w:val="00FE44A8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04C7"/>
  <w15:docId w15:val="{A7B3D60F-5B2B-48B0-A326-1253535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2166"/>
    <w:rPr>
      <w:color w:val="0000FF"/>
      <w:u w:val="single"/>
    </w:rPr>
  </w:style>
  <w:style w:type="paragraph" w:customStyle="1" w:styleId="Title1">
    <w:name w:val="Title1"/>
    <w:basedOn w:val="Normal"/>
    <w:rsid w:val="00B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B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B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B72166"/>
  </w:style>
  <w:style w:type="character" w:styleId="CommentReference">
    <w:name w:val="annotation reference"/>
    <w:basedOn w:val="DefaultParagraphFont"/>
    <w:uiPriority w:val="99"/>
    <w:semiHidden/>
    <w:unhideWhenUsed/>
    <w:rsid w:val="001C3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4195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7559FE35E8F469CF1460F2F364103" ma:contentTypeVersion="14" ma:contentTypeDescription="Create a new document." ma:contentTypeScope="" ma:versionID="4991b665df14444dcb4352a7a4c50308">
  <xsd:schema xmlns:xsd="http://www.w3.org/2001/XMLSchema" xmlns:xs="http://www.w3.org/2001/XMLSchema" xmlns:p="http://schemas.microsoft.com/office/2006/metadata/properties" xmlns:ns2="175e93ab-ccf1-4204-8194-2c1fe52dadc8" targetNamespace="http://schemas.microsoft.com/office/2006/metadata/properties" ma:root="true" ma:fieldsID="cfb8892e186d3076f76dfdf8aff90633" ns2:_="">
    <xsd:import namespace="175e93ab-ccf1-4204-8194-2c1fe52dadc8"/>
    <xsd:element name="properties">
      <xsd:complexType>
        <xsd:sequence>
          <xsd:element name="documentManagement">
            <xsd:complexType>
              <xsd:all>
                <xsd:element ref="ns2:Month" minOccurs="0"/>
                <xsd:element ref="ns2:Government_x0020_Agencies" minOccurs="0"/>
                <xsd:element ref="ns2:Government_x0020_Issues" minOccurs="0"/>
                <xsd:element ref="ns2:Doc_x0020_Status" minOccurs="0"/>
                <xsd:element ref="ns2:Doc_x0020_Type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93ab-ccf1-4204-8194-2c1fe52dadc8" elementFormDefault="qualified">
    <xsd:import namespace="http://schemas.microsoft.com/office/2006/documentManagement/types"/>
    <xsd:import namespace="http://schemas.microsoft.com/office/infopath/2007/PartnerControls"/>
    <xsd:element name="Month" ma:index="8" nillable="true" ma:displayName="Month" ma:default="" ma:format="Dropdown" ma:internalName="Month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  <xsd:element name="Government_x0020_Agencies" ma:index="9" nillable="true" ma:displayName="Government Agencies" ma:format="Dropdown" ma:internalName="Government_x0020_Agencies">
      <xsd:simpleType>
        <xsd:restriction base="dms:Choice">
          <xsd:enumeration value="CAC"/>
          <xsd:enumeration value="CDC"/>
          <xsd:enumeration value="CMS"/>
          <xsd:enumeration value="Congress"/>
          <xsd:enumeration value="DOD"/>
          <xsd:enumeration value="FDA"/>
          <xsd:enumeration value="GRN"/>
          <xsd:enumeration value="HRSA"/>
          <xsd:enumeration value="Miscellanous"/>
          <xsd:enumeration value="NCI"/>
          <xsd:enumeration value="NCRR"/>
          <xsd:enumeration value="NHLBI"/>
          <xsd:enumeration value="NIA"/>
          <xsd:enumeration value="NIDDK"/>
          <xsd:enumeration value="NIH"/>
          <xsd:enumeration value="NQF"/>
          <xsd:enumeration value="Patient group"/>
          <xsd:enumeration value="Senate"/>
          <xsd:enumeration value="State Societies"/>
          <xsd:enumeration value="US House of Reps"/>
          <xsd:enumeration value="White House"/>
        </xsd:restriction>
      </xsd:simpleType>
    </xsd:element>
    <xsd:element name="Government_x0020_Issues" ma:index="10" nillable="true" ma:displayName="Government Issues" ma:format="Dropdown" ma:internalName="Government_x0020_Issues">
      <xsd:simpleType>
        <xsd:restriction base="dms:Choice">
          <xsd:enumeration value="CER"/>
          <xsd:enumeration value="ESAs"/>
          <xsd:enumeration value="Health Care Reform"/>
          <xsd:enumeration value="Local Coverage Issues"/>
          <xsd:enumeration value="MDS"/>
          <xsd:enumeration value="Miscellanous"/>
          <xsd:enumeration value="Practice Guidelines"/>
          <xsd:enumeration value="Public Access"/>
          <xsd:enumeration value="Public Health"/>
          <xsd:enumeration value="Reimbursement"/>
          <xsd:enumeration value="Research"/>
          <xsd:enumeration value="Sickle Cell Disease"/>
          <xsd:enumeration value="Stem Cell"/>
          <xsd:enumeration value="Thrombosis"/>
          <xsd:enumeration value="Women with Bleeding Disorders"/>
        </xsd:restriction>
      </xsd:simpleType>
    </xsd:element>
    <xsd:element name="Doc_x0020_Status" ma:index="11" nillable="true" ma:displayName="Doc Status" ma:default="Final" ma:format="Dropdown" ma:internalName="Doc_x0020_Status">
      <xsd:simpleType>
        <xsd:restriction base="dms:Choice">
          <xsd:enumeration value="Draft"/>
          <xsd:enumeration value="Final"/>
        </xsd:restriction>
      </xsd:simpleType>
    </xsd:element>
    <xsd:element name="Doc_x0020_Type" ma:index="12" ma:displayName="Doc Type" ma:format="Dropdown" ma:internalName="Doc_x0020_Type" ma:readOnly="false">
      <xsd:simpleType>
        <xsd:restriction base="dms:Choice">
          <xsd:enumeration value="Advertisement"/>
          <xsd:enumeration value="Agenda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</xsd:restriction>
      </xsd:simpleType>
    </xsd:element>
    <xsd:element name="Year" ma:index="13" nillable="true" ma:displayName="Year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c_x0020_Type xmlns="175e93ab-ccf1-4204-8194-2c1fe52dadc8">Letter</Doc_x0020_Type>
    <Government_x0020_Agencies xmlns="175e93ab-ccf1-4204-8194-2c1fe52dadc8">CMS</Government_x0020_Agencies>
    <Year xmlns="175e93ab-ccf1-4204-8194-2c1fe52dadc8">2013</Year>
    <Month xmlns="175e93ab-ccf1-4204-8194-2c1fe52dadc8">08</Month>
    <Government_x0020_Issues xmlns="175e93ab-ccf1-4204-8194-2c1fe52dadc8">Local Coverage Issues</Government_x0020_Issues>
    <Doc_x0020_Status xmlns="175e93ab-ccf1-4204-8194-2c1fe52dadc8">Draft</Doc_x0020_Status>
  </documentManagement>
</p:properties>
</file>

<file path=customXml/itemProps1.xml><?xml version="1.0" encoding="utf-8"?>
<ds:datastoreItem xmlns:ds="http://schemas.openxmlformats.org/officeDocument/2006/customXml" ds:itemID="{811ADF4F-FEE7-4D95-A466-2C1948C2A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088D3-59CC-47A1-8133-BEF5A4A4320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6DE4544-03B7-466D-935E-65B538D6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e93ab-ccf1-4204-8194-2c1fe52d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EF6D1-87D5-44EC-A02A-5019FB479582}">
  <ds:schemaRefs>
    <ds:schemaRef ds:uri="http://schemas.microsoft.com/office/2006/metadata/properties"/>
    <ds:schemaRef ds:uri="175e93ab-ccf1-4204-8194-2c1fe52da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 Coverage for Interferon for Treatment of Polycythemia</vt:lpstr>
    </vt:vector>
  </TitlesOfParts>
  <Company>Johns Hopkins University DOM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 Coverage for Interferon for Treatment of Polycythemia</dc:title>
  <dc:creator>JHU</dc:creator>
  <cp:lastModifiedBy>Deon Nelson</cp:lastModifiedBy>
  <cp:revision>4</cp:revision>
  <cp:lastPrinted>2012-09-13T19:19:00Z</cp:lastPrinted>
  <dcterms:created xsi:type="dcterms:W3CDTF">2015-06-18T20:25:00Z</dcterms:created>
  <dcterms:modified xsi:type="dcterms:W3CDTF">2015-07-30T18:25:00Z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0x0101001257559FE35E8F469CF1460F2F364103</vt:lpwstr>
  </property>
</Properties>
</file>