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DF16" w14:textId="118EAB3D" w:rsidR="00814209" w:rsidRDefault="005F3887" w:rsidP="00FF3988">
      <w:pPr>
        <w:spacing w:before="2" w:line="254" w:lineRule="auto"/>
        <w:rPr>
          <w:rFonts w:ascii="Helvetica" w:hAnsi="Helvetica"/>
        </w:rPr>
      </w:pPr>
      <w:r>
        <w:rPr>
          <w:rFonts w:ascii="Helvetica" w:hAnsi="Helvetica"/>
        </w:rPr>
        <w:br/>
      </w:r>
    </w:p>
    <w:p w14:paraId="030EA19F" w14:textId="77777777" w:rsidR="005F3887" w:rsidRDefault="005F3887" w:rsidP="00FF3988">
      <w:pPr>
        <w:spacing w:before="2" w:line="254" w:lineRule="auto"/>
        <w:rPr>
          <w:rFonts w:ascii="Times New Roman"/>
          <w:sz w:val="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6476"/>
      </w:tblGrid>
      <w:tr w:rsidR="00814209" w14:paraId="6AD6F640" w14:textId="77777777">
        <w:trPr>
          <w:trHeight w:val="592"/>
        </w:trPr>
        <w:tc>
          <w:tcPr>
            <w:tcW w:w="12952" w:type="dxa"/>
            <w:gridSpan w:val="2"/>
          </w:tcPr>
          <w:p w14:paraId="646C63ED" w14:textId="77777777" w:rsidR="00DD05EF" w:rsidRDefault="00DD05EF" w:rsidP="00FF3988">
            <w:pPr>
              <w:pStyle w:val="TableParagraph"/>
              <w:spacing w:before="1" w:line="254" w:lineRule="auto"/>
              <w:ind w:left="4983" w:right="3373" w:hanging="1100"/>
              <w:rPr>
                <w:b/>
              </w:rPr>
            </w:pPr>
            <w:r>
              <w:rPr>
                <w:b/>
              </w:rPr>
              <w:t>202</w:t>
            </w:r>
            <w:r w:rsidR="00F62CC9">
              <w:rPr>
                <w:b/>
              </w:rPr>
              <w:t>6</w:t>
            </w:r>
            <w:r>
              <w:rPr>
                <w:b/>
                <w:spacing w:val="-6"/>
              </w:rPr>
              <w:t xml:space="preserve"> </w:t>
            </w:r>
            <w:r>
              <w:rPr>
                <w:b/>
              </w:rPr>
              <w:t>Medicare</w:t>
            </w:r>
            <w:r>
              <w:rPr>
                <w:b/>
                <w:spacing w:val="-8"/>
              </w:rPr>
              <w:t xml:space="preserve"> </w:t>
            </w:r>
            <w:r>
              <w:rPr>
                <w:b/>
              </w:rPr>
              <w:t>Physician</w:t>
            </w:r>
            <w:r>
              <w:rPr>
                <w:b/>
                <w:spacing w:val="-6"/>
              </w:rPr>
              <w:t xml:space="preserve"> </w:t>
            </w:r>
            <w:r>
              <w:rPr>
                <w:b/>
              </w:rPr>
              <w:t>Fee</w:t>
            </w:r>
            <w:r>
              <w:rPr>
                <w:b/>
                <w:spacing w:val="-6"/>
              </w:rPr>
              <w:t xml:space="preserve"> </w:t>
            </w:r>
            <w:r>
              <w:rPr>
                <w:b/>
              </w:rPr>
              <w:t>Schedule</w:t>
            </w:r>
            <w:r>
              <w:rPr>
                <w:b/>
                <w:spacing w:val="-6"/>
              </w:rPr>
              <w:t xml:space="preserve"> </w:t>
            </w:r>
            <w:r>
              <w:rPr>
                <w:b/>
              </w:rPr>
              <w:t>Final</w:t>
            </w:r>
            <w:r>
              <w:rPr>
                <w:b/>
                <w:spacing w:val="-9"/>
              </w:rPr>
              <w:t xml:space="preserve"> </w:t>
            </w:r>
            <w:r>
              <w:rPr>
                <w:b/>
              </w:rPr>
              <w:t xml:space="preserve">Rule </w:t>
            </w:r>
          </w:p>
          <w:p w14:paraId="31321EDE" w14:textId="294C0519" w:rsidR="00814209" w:rsidRDefault="00B42E7C" w:rsidP="00DD05EF">
            <w:pPr>
              <w:pStyle w:val="TableParagraph"/>
              <w:spacing w:before="1" w:line="254" w:lineRule="auto"/>
              <w:ind w:left="4983" w:right="3373" w:hanging="1100"/>
              <w:jc w:val="center"/>
              <w:rPr>
                <w:b/>
              </w:rPr>
            </w:pPr>
            <w:r>
              <w:rPr>
                <w:b/>
              </w:rPr>
              <w:t>A</w:t>
            </w:r>
            <w:r w:rsidR="002D7573">
              <w:rPr>
                <w:b/>
              </w:rPr>
              <w:t>SH</w:t>
            </w:r>
            <w:r w:rsidR="00DD05EF">
              <w:rPr>
                <w:b/>
              </w:rPr>
              <w:t xml:space="preserve"> Comment Comparison</w:t>
            </w:r>
          </w:p>
        </w:tc>
      </w:tr>
      <w:tr w:rsidR="00814209" w14:paraId="04457385" w14:textId="77777777">
        <w:trPr>
          <w:trHeight w:val="304"/>
        </w:trPr>
        <w:tc>
          <w:tcPr>
            <w:tcW w:w="6476" w:type="dxa"/>
          </w:tcPr>
          <w:p w14:paraId="53B1D9A7" w14:textId="77777777" w:rsidR="00814209" w:rsidRDefault="00DD05EF" w:rsidP="00FF3988">
            <w:pPr>
              <w:pStyle w:val="TableParagraph"/>
              <w:spacing w:line="254" w:lineRule="auto"/>
              <w:rPr>
                <w:b/>
              </w:rPr>
            </w:pPr>
            <w:r>
              <w:rPr>
                <w:b/>
                <w:spacing w:val="-2"/>
              </w:rPr>
              <w:t>Comment</w:t>
            </w:r>
          </w:p>
        </w:tc>
        <w:tc>
          <w:tcPr>
            <w:tcW w:w="6476" w:type="dxa"/>
          </w:tcPr>
          <w:p w14:paraId="68F7C4CA" w14:textId="77777777" w:rsidR="00814209" w:rsidRDefault="00DD05EF" w:rsidP="00FF3988">
            <w:pPr>
              <w:pStyle w:val="TableParagraph"/>
              <w:spacing w:line="254" w:lineRule="auto"/>
              <w:rPr>
                <w:b/>
              </w:rPr>
            </w:pPr>
            <w:r>
              <w:rPr>
                <w:b/>
              </w:rPr>
              <w:t>Final</w:t>
            </w:r>
            <w:r>
              <w:rPr>
                <w:b/>
                <w:spacing w:val="-2"/>
              </w:rPr>
              <w:t xml:space="preserve"> </w:t>
            </w:r>
            <w:r>
              <w:rPr>
                <w:b/>
              </w:rPr>
              <w:t xml:space="preserve">Rule </w:t>
            </w:r>
            <w:r>
              <w:rPr>
                <w:b/>
                <w:spacing w:val="-2"/>
              </w:rPr>
              <w:t>Provision</w:t>
            </w:r>
          </w:p>
        </w:tc>
      </w:tr>
      <w:tr w:rsidR="00814209" w14:paraId="3BC74081" w14:textId="77777777">
        <w:trPr>
          <w:trHeight w:val="304"/>
        </w:trPr>
        <w:tc>
          <w:tcPr>
            <w:tcW w:w="12952" w:type="dxa"/>
            <w:gridSpan w:val="2"/>
          </w:tcPr>
          <w:p w14:paraId="776D6BA3" w14:textId="77777777" w:rsidR="00814209" w:rsidRDefault="00DD05EF" w:rsidP="00FF3988">
            <w:pPr>
              <w:pStyle w:val="TableParagraph"/>
              <w:spacing w:line="254" w:lineRule="auto"/>
              <w:rPr>
                <w:b/>
              </w:rPr>
            </w:pPr>
            <w:r>
              <w:rPr>
                <w:b/>
              </w:rPr>
              <w:t>Conversion</w:t>
            </w:r>
            <w:r>
              <w:rPr>
                <w:b/>
                <w:spacing w:val="-5"/>
              </w:rPr>
              <w:t xml:space="preserve"> </w:t>
            </w:r>
            <w:r>
              <w:rPr>
                <w:b/>
                <w:spacing w:val="-2"/>
              </w:rPr>
              <w:t>Factor</w:t>
            </w:r>
          </w:p>
        </w:tc>
      </w:tr>
      <w:tr w:rsidR="00814209" w14:paraId="4AC2FB62" w14:textId="77777777">
        <w:trPr>
          <w:trHeight w:val="758"/>
        </w:trPr>
        <w:tc>
          <w:tcPr>
            <w:tcW w:w="6476" w:type="dxa"/>
          </w:tcPr>
          <w:p w14:paraId="3E8627BE" w14:textId="734792E3" w:rsidR="005F3887" w:rsidRPr="005F3887" w:rsidRDefault="005F3887" w:rsidP="00FF3988">
            <w:pPr>
              <w:pStyle w:val="TableParagraph"/>
              <w:spacing w:before="3" w:line="254" w:lineRule="auto"/>
            </w:pPr>
            <w:r w:rsidRPr="005F3887">
              <w:t xml:space="preserve">Appreciated the positive updates to the two conversion </w:t>
            </w:r>
            <w:r w:rsidR="00DD05EF" w:rsidRPr="005F3887">
              <w:t>factors</w:t>
            </w:r>
            <w:r w:rsidR="00DD05EF">
              <w:t xml:space="preserve"> but</w:t>
            </w:r>
            <w:r w:rsidR="005A1613">
              <w:t xml:space="preserve"> pointed to the potential negative impact </w:t>
            </w:r>
            <w:r w:rsidR="00FF3988">
              <w:t xml:space="preserve">(on physician payment) </w:t>
            </w:r>
            <w:r w:rsidR="005A1613">
              <w:t>when combined with the proposed efficiency adjustment and changes to practice expense payment for services in the facility setting</w:t>
            </w:r>
            <w:r w:rsidRPr="005F3887">
              <w:t xml:space="preserve">. </w:t>
            </w:r>
            <w:r w:rsidR="005A1613">
              <w:br/>
            </w:r>
          </w:p>
          <w:p w14:paraId="66026B1B" w14:textId="5A1205C6" w:rsidR="005F3887" w:rsidRDefault="005A1613" w:rsidP="00FF3988">
            <w:pPr>
              <w:pStyle w:val="TableParagraph"/>
              <w:spacing w:before="3" w:line="254" w:lineRule="auto"/>
              <w:rPr>
                <w:spacing w:val="-2"/>
              </w:rPr>
            </w:pPr>
            <w:r>
              <w:t>R</w:t>
            </w:r>
            <w:r w:rsidR="005F3887" w:rsidRPr="005F3887">
              <w:t>ecommended that CMS find</w:t>
            </w:r>
            <w:r w:rsidR="008F6590">
              <w:t xml:space="preserve"> permanent</w:t>
            </w:r>
            <w:r w:rsidR="005F3887" w:rsidRPr="005F3887">
              <w:t xml:space="preserve"> long-term solutions for future </w:t>
            </w:r>
            <w:r w:rsidR="00FF3988">
              <w:t xml:space="preserve">Medicare physician payment </w:t>
            </w:r>
            <w:r w:rsidR="005F3887" w:rsidRPr="005F3887">
              <w:t>updates</w:t>
            </w:r>
            <w:r w:rsidR="008F6590">
              <w:t>.</w:t>
            </w:r>
            <w:r w:rsidR="00AB6F4F">
              <w:br/>
            </w:r>
            <w:r w:rsidR="00AB6F4F">
              <w:br/>
            </w:r>
            <w:r w:rsidR="005F3887" w:rsidRPr="005F3887">
              <w:t>Acknowledged that CMS cannot update the conversion factors without Congressional intervention.</w:t>
            </w:r>
          </w:p>
          <w:p w14:paraId="05D3C746" w14:textId="60E6292D" w:rsidR="00814209" w:rsidRDefault="00814209" w:rsidP="00FF3988">
            <w:pPr>
              <w:pStyle w:val="TableParagraph"/>
              <w:spacing w:line="254" w:lineRule="auto"/>
            </w:pPr>
          </w:p>
        </w:tc>
        <w:tc>
          <w:tcPr>
            <w:tcW w:w="6476" w:type="dxa"/>
          </w:tcPr>
          <w:p w14:paraId="28908174" w14:textId="2BDC2263" w:rsidR="00814209" w:rsidRDefault="001E70F2" w:rsidP="00FF3988">
            <w:pPr>
              <w:pStyle w:val="TableParagraph"/>
              <w:spacing w:before="3" w:line="254" w:lineRule="auto"/>
            </w:pPr>
            <w:r w:rsidRPr="001E70F2">
              <w:t>CMS did not address any specific comments in the final rule but was appreciative of comments from all stakeholders.</w:t>
            </w:r>
          </w:p>
        </w:tc>
      </w:tr>
      <w:tr w:rsidR="002C242F" w14:paraId="1315E263" w14:textId="77777777">
        <w:trPr>
          <w:trHeight w:val="301"/>
        </w:trPr>
        <w:tc>
          <w:tcPr>
            <w:tcW w:w="12952" w:type="dxa"/>
            <w:gridSpan w:val="2"/>
          </w:tcPr>
          <w:p w14:paraId="26B1EE76" w14:textId="2095E912" w:rsidR="002C242F" w:rsidRDefault="002C242F" w:rsidP="00FF3988">
            <w:pPr>
              <w:pStyle w:val="TableParagraph"/>
              <w:spacing w:line="254" w:lineRule="auto"/>
              <w:rPr>
                <w:b/>
              </w:rPr>
            </w:pPr>
            <w:r w:rsidRPr="00032E76">
              <w:rPr>
                <w:b/>
              </w:rPr>
              <w:t>Updates to Practice Expense (PE) Methodology – Site of Service Payment Differential</w:t>
            </w:r>
          </w:p>
        </w:tc>
      </w:tr>
      <w:tr w:rsidR="002C242F" w14:paraId="6E6611FC" w14:textId="77777777">
        <w:trPr>
          <w:trHeight w:val="1012"/>
        </w:trPr>
        <w:tc>
          <w:tcPr>
            <w:tcW w:w="6476" w:type="dxa"/>
          </w:tcPr>
          <w:p w14:paraId="499AA850" w14:textId="242E9696" w:rsidR="002C242F" w:rsidRDefault="00662200" w:rsidP="00FF3988">
            <w:pPr>
              <w:pStyle w:val="TableParagraph"/>
              <w:spacing w:before="6" w:line="254" w:lineRule="auto"/>
            </w:pPr>
            <w:r>
              <w:t>U</w:t>
            </w:r>
            <w:r w:rsidRPr="00662200">
              <w:t xml:space="preserve">rged CMS not to finalize its proposal to cut the allocation of indirect practice expense (PE) RVUs for facility settings by half, relative to non-facility settings, without first providing the empirical data and methodology used to support this change. </w:t>
            </w:r>
            <w:r>
              <w:br/>
            </w:r>
            <w:r>
              <w:br/>
              <w:t>E</w:t>
            </w:r>
            <w:r w:rsidRPr="00662200">
              <w:t>mphasized that physicians practicing in facilities</w:t>
            </w:r>
            <w:r w:rsidR="001E4B55">
              <w:t xml:space="preserve"> (i.e., </w:t>
            </w:r>
            <w:r w:rsidRPr="00662200">
              <w:t>private practice and hospital-employed clinicians</w:t>
            </w:r>
            <w:r w:rsidR="001E4B55">
              <w:t xml:space="preserve">) </w:t>
            </w:r>
            <w:r w:rsidRPr="00662200">
              <w:t xml:space="preserve">still incur substantial indirect costs such as rent, administrative salaries, and added </w:t>
            </w:r>
            <w:r w:rsidR="008F6590">
              <w:t xml:space="preserve">burdens related to </w:t>
            </w:r>
            <w:r w:rsidRPr="00662200">
              <w:t xml:space="preserve">scheduling. </w:t>
            </w:r>
            <w:r w:rsidR="008F6590">
              <w:br/>
            </w:r>
            <w:r>
              <w:br/>
            </w:r>
            <w:r w:rsidR="001E4B55">
              <w:t>Should the proposal be</w:t>
            </w:r>
            <w:r w:rsidRPr="00662200">
              <w:t xml:space="preserve"> finalized, ASH recommended phasing it in over four years to minimize financial disruption to physician practices.</w:t>
            </w:r>
            <w:r w:rsidR="008F6590">
              <w:br/>
            </w:r>
          </w:p>
        </w:tc>
        <w:tc>
          <w:tcPr>
            <w:tcW w:w="6476" w:type="dxa"/>
          </w:tcPr>
          <w:p w14:paraId="30B41E22" w14:textId="6C778546" w:rsidR="002C242F" w:rsidRPr="007F6F8B" w:rsidRDefault="007F6F8B" w:rsidP="00DD05EF">
            <w:pPr>
              <w:pStyle w:val="TableParagraph"/>
              <w:spacing w:line="254" w:lineRule="auto"/>
            </w:pPr>
            <w:r w:rsidRPr="007F6F8B">
              <w:t>CMS finalized the proposal to reduce</w:t>
            </w:r>
            <w:r w:rsidR="00DD05EF">
              <w:t xml:space="preserve"> facility indirect practice expense by 50% </w:t>
            </w:r>
            <w:r w:rsidRPr="007F6F8B">
              <w:t>beginning in CY 2026.</w:t>
            </w:r>
          </w:p>
          <w:p w14:paraId="08F4CCE1" w14:textId="754040DA" w:rsidR="001E70F2" w:rsidRDefault="001E70F2" w:rsidP="007F6F8B">
            <w:pPr>
              <w:rPr>
                <w:rFonts w:cs="Arial"/>
                <w:color w:val="314A58"/>
                <w:szCs w:val="20"/>
              </w:rPr>
            </w:pPr>
          </w:p>
          <w:p w14:paraId="7119307D" w14:textId="7934CC50" w:rsidR="001E70F2" w:rsidRDefault="001E70F2" w:rsidP="007F6F8B">
            <w:pPr>
              <w:pStyle w:val="TableParagraph"/>
              <w:spacing w:line="254" w:lineRule="auto"/>
              <w:ind w:left="0"/>
            </w:pPr>
          </w:p>
        </w:tc>
      </w:tr>
    </w:tbl>
    <w:p w14:paraId="5CCCE403" w14:textId="77777777" w:rsidR="00814209" w:rsidRDefault="00814209" w:rsidP="00FF3988">
      <w:pPr>
        <w:pStyle w:val="TableParagraph"/>
        <w:spacing w:line="254" w:lineRule="auto"/>
        <w:jc w:val="both"/>
        <w:sectPr w:rsidR="00814209">
          <w:footerReference w:type="even" r:id="rId6"/>
          <w:footerReference w:type="default" r:id="rId7"/>
          <w:type w:val="continuous"/>
          <w:pgSz w:w="15840" w:h="12240" w:orient="landscape"/>
          <w:pgMar w:top="1380" w:right="1080" w:bottom="280" w:left="1440" w:header="720" w:footer="720" w:gutter="0"/>
          <w:cols w:space="720"/>
        </w:sectPr>
      </w:pPr>
    </w:p>
    <w:p w14:paraId="3B541D7C" w14:textId="77777777" w:rsidR="00814209" w:rsidRDefault="00814209" w:rsidP="00FF3988">
      <w:pPr>
        <w:spacing w:before="2" w:line="254" w:lineRule="auto"/>
        <w:rPr>
          <w:rFonts w:ascii="Times New Roman"/>
          <w:sz w:val="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6476"/>
        <w:gridCol w:w="6476"/>
      </w:tblGrid>
      <w:tr w:rsidR="00814209" w14:paraId="6E1D16C5" w14:textId="77777777" w:rsidTr="002C242F">
        <w:trPr>
          <w:gridBefore w:val="1"/>
          <w:wBefore w:w="10" w:type="dxa"/>
          <w:trHeight w:val="304"/>
        </w:trPr>
        <w:tc>
          <w:tcPr>
            <w:tcW w:w="12952" w:type="dxa"/>
            <w:gridSpan w:val="2"/>
          </w:tcPr>
          <w:p w14:paraId="24FBE215" w14:textId="6438CF0F" w:rsidR="00814209" w:rsidRDefault="002C242F" w:rsidP="00FF3988">
            <w:pPr>
              <w:pStyle w:val="TableParagraph"/>
              <w:spacing w:line="254" w:lineRule="auto"/>
              <w:rPr>
                <w:b/>
              </w:rPr>
            </w:pPr>
            <w:r w:rsidRPr="00032E76">
              <w:rPr>
                <w:b/>
              </w:rPr>
              <w:t>Proposed Efficiency Adjustment</w:t>
            </w:r>
          </w:p>
        </w:tc>
      </w:tr>
      <w:tr w:rsidR="00814209" w14:paraId="77B9F840" w14:textId="77777777" w:rsidTr="002C242F">
        <w:trPr>
          <w:gridBefore w:val="1"/>
          <w:wBefore w:w="10" w:type="dxa"/>
          <w:trHeight w:val="1516"/>
        </w:trPr>
        <w:tc>
          <w:tcPr>
            <w:tcW w:w="6476" w:type="dxa"/>
          </w:tcPr>
          <w:p w14:paraId="1D1C4008" w14:textId="52235B60" w:rsidR="00814209" w:rsidRPr="00E178D1" w:rsidRDefault="00126751" w:rsidP="00FF3988">
            <w:pPr>
              <w:pStyle w:val="TableParagraph"/>
              <w:spacing w:line="254" w:lineRule="auto"/>
              <w:ind w:left="101" w:right="216"/>
              <w:rPr>
                <w:i/>
                <w:iCs/>
              </w:rPr>
            </w:pPr>
            <w:r>
              <w:t>Opposed</w:t>
            </w:r>
            <w:r w:rsidR="002C0CB9" w:rsidRPr="00032E76">
              <w:t xml:space="preserve"> the principle of an efficiency adjustment to reduce disparities between E/M and procedural services </w:t>
            </w:r>
            <w:r w:rsidR="00072538">
              <w:t>but thanked CMS for excluding time-based services</w:t>
            </w:r>
            <w:r w:rsidR="007E51B2">
              <w:t>, such as E/M visits,</w:t>
            </w:r>
            <w:r w:rsidR="00072538">
              <w:t xml:space="preserve"> from the proposal.</w:t>
            </w:r>
            <w:r w:rsidR="00072538">
              <w:br/>
            </w:r>
            <w:r w:rsidR="00072538">
              <w:br/>
            </w:r>
            <w:r w:rsidR="00006F3E">
              <w:t>R</w:t>
            </w:r>
            <w:r w:rsidR="007E51B2" w:rsidRPr="007E51B2">
              <w:t xml:space="preserve">equested that </w:t>
            </w:r>
            <w:r w:rsidR="00006F3E">
              <w:t>CMS</w:t>
            </w:r>
            <w:r w:rsidR="007E51B2">
              <w:t xml:space="preserve"> </w:t>
            </w:r>
            <w:r w:rsidR="007E51B2" w:rsidRPr="007E51B2">
              <w:t xml:space="preserve">provide the empirical data and methodology used to support the </w:t>
            </w:r>
            <w:r w:rsidR="00006F3E">
              <w:t xml:space="preserve">efficiency </w:t>
            </w:r>
            <w:r w:rsidR="007E51B2" w:rsidRPr="007E51B2">
              <w:t>adjustment.</w:t>
            </w:r>
            <w:r w:rsidR="00E178D1">
              <w:br/>
            </w:r>
            <w:r w:rsidR="00E178D1">
              <w:br/>
            </w:r>
            <w:r>
              <w:t xml:space="preserve">Urged CMS to consider the unintended consequences of arbitrary assumptions about </w:t>
            </w:r>
            <w:r w:rsidR="00072538">
              <w:t xml:space="preserve">the benefits of technological advancements on efficiency. </w:t>
            </w:r>
            <w:r w:rsidR="00006F3E">
              <w:t>W</w:t>
            </w:r>
            <w:r w:rsidR="007E51B2" w:rsidRPr="007E51B2">
              <w:t>arned that many hematology procedures</w:t>
            </w:r>
            <w:r w:rsidR="007E51B2">
              <w:t xml:space="preserve">, </w:t>
            </w:r>
            <w:r w:rsidR="007E51B2" w:rsidRPr="007E51B2">
              <w:t>such as bone marrow transplants</w:t>
            </w:r>
            <w:r w:rsidR="007E51B2">
              <w:t>, r</w:t>
            </w:r>
            <w:r w:rsidR="007E51B2" w:rsidRPr="007E51B2">
              <w:t>equire intensive oversight and preparation that do not become more efficient with time or technology. </w:t>
            </w:r>
            <w:r w:rsidR="00AB6F4F">
              <w:br/>
            </w:r>
            <w:r w:rsidR="00AB6F4F">
              <w:br/>
            </w:r>
            <w:r>
              <w:t>Opposed CMS’ assumption that EMRs improve efficiency</w:t>
            </w:r>
            <w:r w:rsidR="007E51B2">
              <w:t>, e</w:t>
            </w:r>
            <w:r w:rsidR="007E51B2" w:rsidRPr="007E51B2">
              <w:t>mphasiz</w:t>
            </w:r>
            <w:r w:rsidR="007E51B2">
              <w:t>ing</w:t>
            </w:r>
            <w:r w:rsidR="007E51B2" w:rsidRPr="007E51B2">
              <w:t xml:space="preserve"> that interpreting large volumes of clinical data, including from EMRs, </w:t>
            </w:r>
            <w:r w:rsidR="00006F3E">
              <w:t xml:space="preserve">requires </w:t>
            </w:r>
            <w:r w:rsidR="007E51B2" w:rsidRPr="007E51B2">
              <w:t xml:space="preserve">significant physician expertise. </w:t>
            </w:r>
            <w:r w:rsidR="00A11360">
              <w:br/>
            </w:r>
            <w:r w:rsidR="00A11360">
              <w:br/>
              <w:t>R</w:t>
            </w:r>
            <w:r w:rsidR="00A11360" w:rsidRPr="00A11360">
              <w:t>ecommend</w:t>
            </w:r>
            <w:r w:rsidR="00A11360">
              <w:t>ed</w:t>
            </w:r>
            <w:r w:rsidR="00A11360" w:rsidRPr="00A11360">
              <w:t xml:space="preserve"> </w:t>
            </w:r>
            <w:r w:rsidR="00A11360">
              <w:t>that CMS</w:t>
            </w:r>
            <w:r w:rsidR="00A11360" w:rsidRPr="00A11360">
              <w:t xml:space="preserve"> work with medical professionals to develop time and motion studies for high volume procedures to determine if there are or have been any efficiency gains over time. </w:t>
            </w:r>
            <w:r w:rsidR="00006F3E">
              <w:t>Recommended a</w:t>
            </w:r>
            <w:r w:rsidR="00A11360" w:rsidRPr="00A11360">
              <w:t xml:space="preserve">dditional data points may be captured by analyzing EHR data that includes time stamps for E/M visits and even some procedures. </w:t>
            </w:r>
            <w:r w:rsidR="00006F3E">
              <w:br/>
            </w:r>
            <w:r w:rsidR="00006F3E">
              <w:br/>
              <w:t xml:space="preserve">If this policy is </w:t>
            </w:r>
            <w:r w:rsidR="00A11360" w:rsidRPr="00A11360">
              <w:t>finalize</w:t>
            </w:r>
            <w:r w:rsidR="00006F3E">
              <w:t>d, AHS recommended that</w:t>
            </w:r>
            <w:r w:rsidR="00A11360" w:rsidRPr="00A11360">
              <w:t xml:space="preserve"> the efficiency adjustment not be implemented until an annual MEI inflationary adjustment is applied to the MPFS.</w:t>
            </w:r>
            <w:r w:rsidR="00AB6F4F">
              <w:br/>
            </w:r>
          </w:p>
        </w:tc>
        <w:tc>
          <w:tcPr>
            <w:tcW w:w="6476" w:type="dxa"/>
          </w:tcPr>
          <w:p w14:paraId="57A1391F" w14:textId="44F101E0" w:rsidR="001E70F2" w:rsidRPr="001E70F2" w:rsidRDefault="001E70F2" w:rsidP="001E70F2">
            <w:pPr>
              <w:pStyle w:val="TableParagraph"/>
              <w:spacing w:before="3" w:line="254" w:lineRule="auto"/>
            </w:pPr>
            <w:r w:rsidRPr="001E70F2">
              <w:t>CMS finalized the negative 2.5% efficiency adjustment to the work RVUs and intraservice time for nearly all services on the MPFS including procedures, radiology services, and diagnostic tests. The agency will exempt codes new for CY 2026 from the efficiency adjustment for CY 2026.</w:t>
            </w:r>
            <w:r w:rsidRPr="001E70F2">
              <w:br/>
            </w:r>
            <w:r w:rsidRPr="001E70F2">
              <w:br/>
              <w:t>CMS welcomed empiric data to support the value of physician services, which is yet another indication that CMS does not want to rely solely on RUC survey data to set payment rates.</w:t>
            </w:r>
          </w:p>
          <w:p w14:paraId="5FD133B8" w14:textId="1921D507" w:rsidR="00814209" w:rsidRDefault="00814209" w:rsidP="00FF3988">
            <w:pPr>
              <w:pStyle w:val="TableParagraph"/>
              <w:spacing w:before="3" w:line="254" w:lineRule="auto"/>
            </w:pPr>
          </w:p>
        </w:tc>
      </w:tr>
      <w:tr w:rsidR="007E51B2" w14:paraId="70428F0E" w14:textId="77777777" w:rsidTr="002C242F">
        <w:trPr>
          <w:gridBefore w:val="1"/>
          <w:wBefore w:w="10" w:type="dxa"/>
          <w:trHeight w:val="1516"/>
        </w:trPr>
        <w:tc>
          <w:tcPr>
            <w:tcW w:w="6476" w:type="dxa"/>
          </w:tcPr>
          <w:p w14:paraId="350FD01A" w14:textId="0F408DED" w:rsidR="007E51B2" w:rsidRDefault="007E51B2" w:rsidP="00FF3988">
            <w:pPr>
              <w:pStyle w:val="TableParagraph"/>
              <w:spacing w:line="254" w:lineRule="auto"/>
              <w:ind w:left="101" w:right="216"/>
            </w:pPr>
            <w:r>
              <w:lastRenderedPageBreak/>
              <w:t xml:space="preserve">Opposed using the </w:t>
            </w:r>
            <w:r w:rsidRPr="007E51B2">
              <w:t>MEI</w:t>
            </w:r>
            <w:r w:rsidR="00006F3E">
              <w:t xml:space="preserve"> </w:t>
            </w:r>
            <w:r w:rsidRPr="007E51B2">
              <w:t>to arrive at the -2.5% adjustment</w:t>
            </w:r>
            <w:r>
              <w:t xml:space="preserve"> </w:t>
            </w:r>
            <w:r w:rsidRPr="007E51B2">
              <w:t>to non-time-based services</w:t>
            </w:r>
            <w:r w:rsidR="00DB36AC">
              <w:t xml:space="preserve"> given</w:t>
            </w:r>
            <w:r w:rsidRPr="007E51B2">
              <w:t xml:space="preserve"> physicians do</w:t>
            </w:r>
            <w:r w:rsidR="00006F3E">
              <w:t xml:space="preserve"> </w:t>
            </w:r>
            <w:r w:rsidRPr="007E51B2">
              <w:t xml:space="preserve">not also receive an inflationary update. </w:t>
            </w:r>
          </w:p>
        </w:tc>
        <w:tc>
          <w:tcPr>
            <w:tcW w:w="6476" w:type="dxa"/>
          </w:tcPr>
          <w:p w14:paraId="52EA68E5" w14:textId="3B0887BD" w:rsidR="007F6F8B" w:rsidRPr="007F6F8B" w:rsidRDefault="007F6F8B" w:rsidP="007F6F8B">
            <w:pPr>
              <w:pStyle w:val="TableParagraph"/>
              <w:spacing w:before="3" w:line="254" w:lineRule="auto"/>
            </w:pPr>
            <w:r w:rsidRPr="007F6F8B">
              <w:t>The agency finalized its policy not to adjust RVUs using MEI methodology.</w:t>
            </w:r>
            <w:r>
              <w:t xml:space="preserve"> </w:t>
            </w:r>
            <w:r w:rsidRPr="007F6F8B">
              <w:t xml:space="preserve">The agency reiterated that it would continue to </w:t>
            </w:r>
            <w:r>
              <w:br/>
            </w:r>
            <w:r w:rsidRPr="007F6F8B">
              <w:t>wait for the results of the American Medical Association’s Physician Practice Information Survey before making any significant changes to the data inputs and calculation of the practice expense RVUs</w:t>
            </w:r>
            <w:r w:rsidR="00DD05EF" w:rsidRPr="007F6F8B">
              <w:t xml:space="preserve">. </w:t>
            </w:r>
          </w:p>
          <w:p w14:paraId="3AAF404D" w14:textId="05C6F9ED" w:rsidR="007E51B2" w:rsidRDefault="007E51B2" w:rsidP="00FF3988">
            <w:pPr>
              <w:pStyle w:val="TableParagraph"/>
              <w:spacing w:before="3" w:line="254" w:lineRule="auto"/>
            </w:pPr>
          </w:p>
        </w:tc>
      </w:tr>
      <w:tr w:rsidR="00DB36AC" w14:paraId="2C03A7FA" w14:textId="77777777" w:rsidTr="002C242F">
        <w:trPr>
          <w:gridBefore w:val="1"/>
          <w:wBefore w:w="10" w:type="dxa"/>
          <w:trHeight w:val="1516"/>
        </w:trPr>
        <w:tc>
          <w:tcPr>
            <w:tcW w:w="6476" w:type="dxa"/>
          </w:tcPr>
          <w:p w14:paraId="428F2871" w14:textId="09FD5539" w:rsidR="00DB36AC" w:rsidRDefault="00940F25" w:rsidP="00FF3988">
            <w:pPr>
              <w:pStyle w:val="TableParagraph"/>
              <w:spacing w:line="254" w:lineRule="auto"/>
              <w:ind w:left="101" w:right="216"/>
            </w:pPr>
            <w:r>
              <w:t xml:space="preserve">Commented on </w:t>
            </w:r>
            <w:r w:rsidRPr="00940F25">
              <w:t>alternative methods to value physician services</w:t>
            </w:r>
            <w:r>
              <w:t xml:space="preserve">, </w:t>
            </w:r>
            <w:r w:rsidRPr="00940F25">
              <w:t>support</w:t>
            </w:r>
            <w:r>
              <w:t>ing</w:t>
            </w:r>
            <w:r w:rsidRPr="00940F25">
              <w:t xml:space="preserve"> the use of time and motion studies that would accurately capture the time and work required for E/M services, procedures and other services on the MPFS. </w:t>
            </w:r>
            <w:r>
              <w:br/>
            </w:r>
            <w:r>
              <w:br/>
            </w:r>
            <w:r w:rsidR="00A11360">
              <w:t>R</w:t>
            </w:r>
            <w:r w:rsidR="00E31DBA">
              <w:t xml:space="preserve">ecommended </w:t>
            </w:r>
            <w:r w:rsidR="00A11360">
              <w:t>that a</w:t>
            </w:r>
            <w:r w:rsidR="00A11360" w:rsidRPr="00A11360">
              <w:t>dditional data points may be captured by analyzing EHR data that includes time stamps for E/M visits and even some procedures.</w:t>
            </w:r>
            <w:r w:rsidR="00A11360">
              <w:br/>
            </w:r>
          </w:p>
        </w:tc>
        <w:tc>
          <w:tcPr>
            <w:tcW w:w="6476" w:type="dxa"/>
          </w:tcPr>
          <w:p w14:paraId="090F5384" w14:textId="4EF5CE82" w:rsidR="00DB36AC" w:rsidRDefault="00924107" w:rsidP="00924107">
            <w:pPr>
              <w:pStyle w:val="TableParagraph"/>
              <w:spacing w:before="3" w:line="254" w:lineRule="auto"/>
            </w:pPr>
            <w:r>
              <w:t>CMS</w:t>
            </w:r>
            <w:r w:rsidRPr="00924107">
              <w:t xml:space="preserve"> appreciate</w:t>
            </w:r>
            <w:r>
              <w:t>d</w:t>
            </w:r>
            <w:r w:rsidRPr="00924107">
              <w:t xml:space="preserve"> the commenters for their feedback and may consider these suggestions</w:t>
            </w:r>
            <w:r>
              <w:t xml:space="preserve"> </w:t>
            </w:r>
            <w:r w:rsidRPr="00924107">
              <w:t>for future rulemaking.</w:t>
            </w:r>
          </w:p>
        </w:tc>
      </w:tr>
      <w:tr w:rsidR="005A1613" w14:paraId="0E1D07E5" w14:textId="77777777" w:rsidTr="005A1613">
        <w:trPr>
          <w:trHeight w:val="302"/>
        </w:trPr>
        <w:tc>
          <w:tcPr>
            <w:tcW w:w="12962" w:type="dxa"/>
            <w:gridSpan w:val="3"/>
          </w:tcPr>
          <w:p w14:paraId="3F9D3C3F" w14:textId="7E7F8603" w:rsidR="005A1613" w:rsidRDefault="005A1613" w:rsidP="00FF3988">
            <w:pPr>
              <w:pStyle w:val="TableParagraph"/>
              <w:spacing w:line="254" w:lineRule="auto"/>
              <w:rPr>
                <w:b/>
              </w:rPr>
            </w:pPr>
            <w:r>
              <w:rPr>
                <w:b/>
              </w:rPr>
              <w:t>Potentially Misvalued Services</w:t>
            </w:r>
          </w:p>
        </w:tc>
      </w:tr>
      <w:tr w:rsidR="005A1613" w14:paraId="784ED7B9" w14:textId="77777777" w:rsidTr="005A1613">
        <w:trPr>
          <w:trHeight w:val="1264"/>
        </w:trPr>
        <w:tc>
          <w:tcPr>
            <w:tcW w:w="6486" w:type="dxa"/>
            <w:gridSpan w:val="2"/>
          </w:tcPr>
          <w:p w14:paraId="0AC488DA" w14:textId="4FBEC2C7" w:rsidR="005A1613" w:rsidRDefault="0082495A" w:rsidP="00FF3988">
            <w:pPr>
              <w:pStyle w:val="TableParagraph"/>
              <w:spacing w:line="254" w:lineRule="auto"/>
            </w:pPr>
            <w:r>
              <w:t>Agreed with CMS</w:t>
            </w:r>
            <w:r w:rsidRPr="0082495A">
              <w:t xml:space="preserve"> that code 36514 is </w:t>
            </w:r>
            <w:r w:rsidR="0091121F">
              <w:t xml:space="preserve">not </w:t>
            </w:r>
            <w:r w:rsidRPr="0082495A">
              <w:t xml:space="preserve">misvalued. </w:t>
            </w:r>
            <w:r>
              <w:t>Additionally, supported the practice expense values for this service (as discussed at the January 2024 RUC meeting).</w:t>
            </w:r>
          </w:p>
          <w:p w14:paraId="30C2D090" w14:textId="77777777" w:rsidR="005A1613" w:rsidRDefault="005A1613" w:rsidP="00FF3988">
            <w:pPr>
              <w:pStyle w:val="TableParagraph"/>
              <w:spacing w:line="254" w:lineRule="auto"/>
            </w:pPr>
          </w:p>
          <w:p w14:paraId="3CC7F516" w14:textId="77777777" w:rsidR="005A1613" w:rsidRDefault="005A1613" w:rsidP="00FF3988">
            <w:pPr>
              <w:pStyle w:val="TableParagraph"/>
              <w:spacing w:line="254" w:lineRule="auto"/>
            </w:pPr>
          </w:p>
        </w:tc>
        <w:tc>
          <w:tcPr>
            <w:tcW w:w="6476" w:type="dxa"/>
          </w:tcPr>
          <w:p w14:paraId="5E121F7D" w14:textId="3D6A8CDD" w:rsidR="005A1613" w:rsidRPr="00B27411" w:rsidRDefault="00B27411" w:rsidP="00B27411">
            <w:pPr>
              <w:pStyle w:val="TableParagraph"/>
              <w:spacing w:line="254" w:lineRule="auto"/>
            </w:pPr>
            <w:r w:rsidRPr="00B27411">
              <w:t>CMS finalized its proposal not to nominate this code as potentially misvalued.</w:t>
            </w:r>
          </w:p>
        </w:tc>
      </w:tr>
      <w:tr w:rsidR="00814209" w14:paraId="21154FAF" w14:textId="77777777" w:rsidTr="002C242F">
        <w:trPr>
          <w:gridBefore w:val="1"/>
          <w:wBefore w:w="10" w:type="dxa"/>
          <w:trHeight w:val="302"/>
        </w:trPr>
        <w:tc>
          <w:tcPr>
            <w:tcW w:w="12952" w:type="dxa"/>
            <w:gridSpan w:val="2"/>
          </w:tcPr>
          <w:p w14:paraId="3475AA5C" w14:textId="41F396B7" w:rsidR="00814209" w:rsidRDefault="002C242F" w:rsidP="00FF3988">
            <w:pPr>
              <w:pStyle w:val="TableParagraph"/>
              <w:spacing w:line="254" w:lineRule="auto"/>
              <w:rPr>
                <w:b/>
              </w:rPr>
            </w:pPr>
            <w:r>
              <w:rPr>
                <w:b/>
              </w:rPr>
              <w:t>Telehealth Services</w:t>
            </w:r>
          </w:p>
        </w:tc>
      </w:tr>
      <w:tr w:rsidR="00814209" w14:paraId="5B77A520" w14:textId="77777777" w:rsidTr="002C242F">
        <w:trPr>
          <w:gridBefore w:val="1"/>
          <w:wBefore w:w="10" w:type="dxa"/>
          <w:trHeight w:val="1264"/>
        </w:trPr>
        <w:tc>
          <w:tcPr>
            <w:tcW w:w="6476" w:type="dxa"/>
          </w:tcPr>
          <w:p w14:paraId="01093AAC" w14:textId="2A17E9C1" w:rsidR="00E178D1" w:rsidRDefault="00E178D1" w:rsidP="00FF3988">
            <w:pPr>
              <w:pStyle w:val="TableParagraph"/>
              <w:spacing w:line="254" w:lineRule="auto"/>
            </w:pPr>
            <w:r>
              <w:t xml:space="preserve">Supported CMS’s proposal to </w:t>
            </w:r>
            <w:r w:rsidRPr="00E178D1">
              <w:t>permanently allow certain services to be furnished under direct supervision that allows the immediate availability of the supervising practitioner using audio/video real-time communications technology (excluding audio-only).</w:t>
            </w:r>
          </w:p>
          <w:p w14:paraId="7909D044" w14:textId="77777777" w:rsidR="00E178D1" w:rsidRDefault="00E178D1" w:rsidP="00FF3988">
            <w:pPr>
              <w:pStyle w:val="TableParagraph"/>
              <w:spacing w:line="254" w:lineRule="auto"/>
            </w:pPr>
          </w:p>
          <w:p w14:paraId="682964F7" w14:textId="0F9B822E" w:rsidR="00E178D1" w:rsidRDefault="00E178D1" w:rsidP="00FF3988">
            <w:pPr>
              <w:pStyle w:val="TableParagraph"/>
              <w:spacing w:line="254" w:lineRule="auto"/>
            </w:pPr>
          </w:p>
        </w:tc>
        <w:tc>
          <w:tcPr>
            <w:tcW w:w="6476" w:type="dxa"/>
          </w:tcPr>
          <w:p w14:paraId="6119AE59" w14:textId="77777777" w:rsidR="002740A9" w:rsidRPr="002740A9" w:rsidRDefault="002740A9" w:rsidP="002740A9">
            <w:pPr>
              <w:pStyle w:val="TableParagraph"/>
              <w:spacing w:line="254" w:lineRule="auto"/>
            </w:pPr>
            <w:r w:rsidRPr="002740A9">
              <w:t>CMS will permanently allow certain services to be furnished under direct supervision that allows the immediate availability of the supervising practitioner using audio/video real-time communications technology (excluding audio-only). This would apply to all services provided incident-to a physician services, except for services with a global surgery indicator of 010 or 090. The agency will apply this definition to the applicable cardiac, pulmonary, and intensive cardiac rehabilitation services.</w:t>
            </w:r>
          </w:p>
          <w:p w14:paraId="17135384" w14:textId="1C743670" w:rsidR="00814209" w:rsidRDefault="00814209" w:rsidP="00FF3988">
            <w:pPr>
              <w:pStyle w:val="TableParagraph"/>
              <w:spacing w:line="254" w:lineRule="auto"/>
            </w:pPr>
          </w:p>
        </w:tc>
      </w:tr>
      <w:tr w:rsidR="002C242F" w:rsidRPr="00032E76" w14:paraId="65461330" w14:textId="77777777" w:rsidTr="00663A9B">
        <w:trPr>
          <w:trHeight w:val="304"/>
        </w:trPr>
        <w:tc>
          <w:tcPr>
            <w:tcW w:w="12962" w:type="dxa"/>
            <w:gridSpan w:val="3"/>
          </w:tcPr>
          <w:p w14:paraId="4915D2D5" w14:textId="3A4EEF3D" w:rsidR="002C242F" w:rsidRPr="00032E76" w:rsidRDefault="002C242F" w:rsidP="00FF3988">
            <w:pPr>
              <w:pStyle w:val="TableParagraph"/>
              <w:spacing w:line="254" w:lineRule="auto"/>
              <w:rPr>
                <w:b/>
              </w:rPr>
            </w:pPr>
            <w:r w:rsidRPr="00032E76">
              <w:rPr>
                <w:b/>
              </w:rPr>
              <w:t>Policies to Improve Care for Chronic Illness and Behavioral Health Needs</w:t>
            </w:r>
            <w:r w:rsidR="005A1613">
              <w:rPr>
                <w:b/>
              </w:rPr>
              <w:t>? (Prevention and Management of Chronic Disease)</w:t>
            </w:r>
          </w:p>
        </w:tc>
      </w:tr>
      <w:tr w:rsidR="002C242F" w:rsidRPr="00032E76" w14:paraId="20F2D9FA" w14:textId="77777777" w:rsidTr="00663A9B">
        <w:trPr>
          <w:trHeight w:val="1012"/>
        </w:trPr>
        <w:tc>
          <w:tcPr>
            <w:tcW w:w="6486" w:type="dxa"/>
            <w:gridSpan w:val="2"/>
          </w:tcPr>
          <w:p w14:paraId="75C65936" w14:textId="4754694C" w:rsidR="00707125" w:rsidRPr="00707125" w:rsidRDefault="0091121F" w:rsidP="00FF3988">
            <w:pPr>
              <w:pStyle w:val="TableParagraph"/>
              <w:spacing w:line="254" w:lineRule="auto"/>
              <w:ind w:left="101"/>
            </w:pPr>
            <w:r>
              <w:lastRenderedPageBreak/>
              <w:t>Cautioned CMS against relying solely on lifestyle interventions (e.g., medically tailored meals, exercise) in prevention and treatment of chronic diseases, particularly for patients with sickle cell disease which require</w:t>
            </w:r>
            <w:r w:rsidR="00006F3E">
              <w:t>s</w:t>
            </w:r>
            <w:r>
              <w:t xml:space="preserve"> specialized management or a broader spectrum of care.</w:t>
            </w:r>
            <w:r>
              <w:br/>
            </w:r>
            <w:r>
              <w:br/>
              <w:t>E</w:t>
            </w:r>
            <w:r w:rsidR="00707125" w:rsidRPr="00707125">
              <w:t>ncouraged CMS to prioritize coverage for comprehensive services such as clinical care, case management, care coordination, community health worker support, mental health services, and preventive care</w:t>
            </w:r>
            <w:r w:rsidR="00006F3E">
              <w:t xml:space="preserve"> </w:t>
            </w:r>
            <w:r w:rsidR="00707125" w:rsidRPr="00707125">
              <w:t>—including vaccinations and screenings—</w:t>
            </w:r>
            <w:r w:rsidR="00006F3E">
              <w:t xml:space="preserve"> </w:t>
            </w:r>
            <w:r w:rsidR="00707125" w:rsidRPr="00707125">
              <w:t>stressing that these are critical to ensuring access, adherence to treatment, and improved outcomes for individuals with chronic hematologic conditions.</w:t>
            </w:r>
            <w:r w:rsidR="00707125">
              <w:br/>
            </w:r>
          </w:p>
          <w:p w14:paraId="5A6EC40C" w14:textId="39D0C76C" w:rsidR="002C242F" w:rsidRPr="00032E76" w:rsidRDefault="00006F3E" w:rsidP="00FF3988">
            <w:pPr>
              <w:pStyle w:val="TableParagraph"/>
              <w:spacing w:line="254" w:lineRule="auto"/>
              <w:ind w:left="101"/>
            </w:pPr>
            <w:r>
              <w:t>U</w:t>
            </w:r>
            <w:r w:rsidR="00707125" w:rsidRPr="00707125">
              <w:t>rged CMS to invest in research before expanding coverage of lifestyle-based interventions to ensure clinical and economic appropriateness.</w:t>
            </w:r>
            <w:r w:rsidR="002029BE">
              <w:br/>
            </w:r>
          </w:p>
        </w:tc>
        <w:tc>
          <w:tcPr>
            <w:tcW w:w="6476" w:type="dxa"/>
          </w:tcPr>
          <w:p w14:paraId="6663E270" w14:textId="25E4B8D7" w:rsidR="002C242F" w:rsidRPr="00032E76" w:rsidRDefault="002740A9" w:rsidP="00FF3988">
            <w:pPr>
              <w:pStyle w:val="TableParagraph"/>
              <w:spacing w:before="1" w:line="254" w:lineRule="auto"/>
            </w:pPr>
            <w:r>
              <w:t>CMS finalized new add-on G-codes for APCM services to strengthen team-based care in primary care settings for beneficiaries with chronic physical and mental health conditions. These add-on codes would cover the care represented by the Behavioral Health Integration (BHI) services, the Psychiatric Collaborative Care Models (CoCM) codes, CPT codes 99492, 99493, and 99484, and general mental health care management that, currently, is not captured by the APCM codes.</w:t>
            </w:r>
          </w:p>
        </w:tc>
      </w:tr>
      <w:tr w:rsidR="002C242F" w:rsidRPr="00032E76" w14:paraId="30493817" w14:textId="77777777" w:rsidTr="00663A9B">
        <w:trPr>
          <w:trHeight w:val="304"/>
        </w:trPr>
        <w:tc>
          <w:tcPr>
            <w:tcW w:w="12962" w:type="dxa"/>
            <w:gridSpan w:val="3"/>
          </w:tcPr>
          <w:p w14:paraId="59A52A00" w14:textId="5BAC86E6" w:rsidR="002C242F" w:rsidRPr="00032E76" w:rsidRDefault="005A1613" w:rsidP="00FF3988">
            <w:pPr>
              <w:pStyle w:val="TableParagraph"/>
              <w:spacing w:line="254" w:lineRule="auto"/>
              <w:rPr>
                <w:b/>
              </w:rPr>
            </w:pPr>
            <w:r>
              <w:rPr>
                <w:b/>
              </w:rPr>
              <w:t>Status Indicator for CPT Code 38228—</w:t>
            </w:r>
            <w:r w:rsidRPr="005A1613">
              <w:rPr>
                <w:b/>
                <w:i/>
                <w:iCs/>
              </w:rPr>
              <w:t>CA</w:t>
            </w:r>
            <w:r>
              <w:rPr>
                <w:b/>
              </w:rPr>
              <w:t>R</w:t>
            </w:r>
            <w:r w:rsidR="00FF3988">
              <w:rPr>
                <w:b/>
              </w:rPr>
              <w:t xml:space="preserve"> T-cells</w:t>
            </w:r>
          </w:p>
        </w:tc>
      </w:tr>
      <w:tr w:rsidR="002C242F" w:rsidRPr="00032E76" w14:paraId="4774B456" w14:textId="77777777" w:rsidTr="00663A9B">
        <w:trPr>
          <w:trHeight w:val="1012"/>
        </w:trPr>
        <w:tc>
          <w:tcPr>
            <w:tcW w:w="6486" w:type="dxa"/>
            <w:gridSpan w:val="2"/>
          </w:tcPr>
          <w:p w14:paraId="16E41477" w14:textId="517EC19C" w:rsidR="00063C78" w:rsidRPr="00032E76" w:rsidRDefault="00707125" w:rsidP="00FF3988">
            <w:pPr>
              <w:pStyle w:val="TableParagraph"/>
              <w:spacing w:line="254" w:lineRule="auto"/>
            </w:pPr>
            <w:r>
              <w:t>Disagrees with CMS’s</w:t>
            </w:r>
            <w:r w:rsidR="00FF3988">
              <w:t xml:space="preserve"> </w:t>
            </w:r>
            <w:r w:rsidR="00FF3988" w:rsidRPr="00FF3988">
              <w:t xml:space="preserve">decision to not pay separately for the steps associated with creating </w:t>
            </w:r>
            <w:r w:rsidR="00FF3988" w:rsidRPr="00FF3988">
              <w:rPr>
                <w:i/>
                <w:iCs/>
              </w:rPr>
              <w:t>CA</w:t>
            </w:r>
            <w:r w:rsidR="00FF3988" w:rsidRPr="00FF3988">
              <w:t>R T-cells</w:t>
            </w:r>
            <w:r w:rsidR="00FF3988">
              <w:t>, strongly disagreeing with their decision to</w:t>
            </w:r>
            <w:r w:rsidR="00FF3988" w:rsidRPr="00FF3988">
              <w:t xml:space="preserve"> not pay separately for the steps involved in the manufacturing of a drug. </w:t>
            </w:r>
            <w:r w:rsidR="00FF3988">
              <w:br/>
            </w:r>
            <w:r w:rsidR="00FF3988">
              <w:br/>
              <w:t>R</w:t>
            </w:r>
            <w:r w:rsidR="00FF3988" w:rsidRPr="00FF3988">
              <w:t>equest</w:t>
            </w:r>
            <w:r w:rsidR="00FF3988">
              <w:t xml:space="preserve">ed </w:t>
            </w:r>
            <w:r w:rsidR="00FF3988" w:rsidRPr="00FF3988">
              <w:t>that CMS change the PC/TC indicator for CPT Code 38228 from “5” to “0” (physician service codes) to appropriately capture the nature of the service and to align with other similar services in the MPFS (e.g., 38240, 38242). </w:t>
            </w:r>
            <w:r w:rsidR="00FF3988">
              <w:br/>
            </w:r>
          </w:p>
        </w:tc>
        <w:tc>
          <w:tcPr>
            <w:tcW w:w="6476" w:type="dxa"/>
          </w:tcPr>
          <w:p w14:paraId="46F1DB3E" w14:textId="6E97FE4A" w:rsidR="002C242F" w:rsidRPr="00032E76" w:rsidRDefault="002740A9" w:rsidP="00FF3988">
            <w:pPr>
              <w:pStyle w:val="TableParagraph"/>
              <w:spacing w:before="1" w:line="254" w:lineRule="auto"/>
            </w:pPr>
            <w:r>
              <w:rPr>
                <w:szCs w:val="20"/>
              </w:rPr>
              <w:t xml:space="preserve">As a direct result of comments submitted the Society, the payment status indicator for services reported by CPT </w:t>
            </w:r>
            <w:r w:rsidRPr="000972BC">
              <w:rPr>
                <w:szCs w:val="20"/>
              </w:rPr>
              <w:t xml:space="preserve">code 38228 (CAR-T cell administration) </w:t>
            </w:r>
            <w:r>
              <w:rPr>
                <w:szCs w:val="20"/>
              </w:rPr>
              <w:t xml:space="preserve">will be corrected. </w:t>
            </w:r>
          </w:p>
        </w:tc>
      </w:tr>
    </w:tbl>
    <w:p w14:paraId="6D83359A" w14:textId="77777777" w:rsidR="00AF291B" w:rsidRDefault="00AF291B" w:rsidP="00FF3988">
      <w:pPr>
        <w:spacing w:line="254" w:lineRule="auto"/>
      </w:pPr>
    </w:p>
    <w:sectPr w:rsidR="00AF291B">
      <w:pgSz w:w="15840" w:h="12240" w:orient="landscape"/>
      <w:pgMar w:top="138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8F11" w14:textId="77777777" w:rsidR="00616F7E" w:rsidRDefault="00616F7E" w:rsidP="002C242F">
      <w:r>
        <w:separator/>
      </w:r>
    </w:p>
  </w:endnote>
  <w:endnote w:type="continuationSeparator" w:id="0">
    <w:p w14:paraId="01C53332" w14:textId="77777777" w:rsidR="00616F7E" w:rsidRDefault="00616F7E" w:rsidP="002C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4666585"/>
      <w:docPartObj>
        <w:docPartGallery w:val="Page Numbers (Bottom of Page)"/>
        <w:docPartUnique/>
      </w:docPartObj>
    </w:sdtPr>
    <w:sdtEndPr>
      <w:rPr>
        <w:rStyle w:val="PageNumber"/>
      </w:rPr>
    </w:sdtEndPr>
    <w:sdtContent>
      <w:p w14:paraId="250AD360" w14:textId="7D55EB01" w:rsidR="002C242F" w:rsidRDefault="002C242F" w:rsidP="00C11C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DD05EF">
          <w:rPr>
            <w:rStyle w:val="PageNumber"/>
          </w:rPr>
          <w:fldChar w:fldCharType="separate"/>
        </w:r>
        <w:r>
          <w:rPr>
            <w:rStyle w:val="PageNumber"/>
          </w:rPr>
          <w:fldChar w:fldCharType="end"/>
        </w:r>
      </w:p>
    </w:sdtContent>
  </w:sdt>
  <w:p w14:paraId="4F0F9D1A" w14:textId="77777777" w:rsidR="002C242F" w:rsidRDefault="002C242F" w:rsidP="002C2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7029125"/>
      <w:docPartObj>
        <w:docPartGallery w:val="Page Numbers (Bottom of Page)"/>
        <w:docPartUnique/>
      </w:docPartObj>
    </w:sdtPr>
    <w:sdtEndPr>
      <w:rPr>
        <w:rStyle w:val="PageNumber"/>
      </w:rPr>
    </w:sdtEndPr>
    <w:sdtContent>
      <w:p w14:paraId="72311B03" w14:textId="4BB34362" w:rsidR="002C242F" w:rsidRDefault="002C242F" w:rsidP="00C11C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87FE3B" w14:textId="77777777" w:rsidR="002C242F" w:rsidRDefault="002C242F" w:rsidP="002C2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68B0" w14:textId="77777777" w:rsidR="00616F7E" w:rsidRDefault="00616F7E" w:rsidP="002C242F">
      <w:r>
        <w:separator/>
      </w:r>
    </w:p>
  </w:footnote>
  <w:footnote w:type="continuationSeparator" w:id="0">
    <w:p w14:paraId="5A7F1DEF" w14:textId="77777777" w:rsidR="00616F7E" w:rsidRDefault="00616F7E" w:rsidP="002C2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09"/>
    <w:rsid w:val="00006F3E"/>
    <w:rsid w:val="00063C78"/>
    <w:rsid w:val="00072538"/>
    <w:rsid w:val="00091B31"/>
    <w:rsid w:val="00126751"/>
    <w:rsid w:val="001B22D8"/>
    <w:rsid w:val="001E4B55"/>
    <w:rsid w:val="001E70F2"/>
    <w:rsid w:val="002029BE"/>
    <w:rsid w:val="002740A9"/>
    <w:rsid w:val="002C0CB9"/>
    <w:rsid w:val="002C242F"/>
    <w:rsid w:val="002D7573"/>
    <w:rsid w:val="003249BD"/>
    <w:rsid w:val="003B6003"/>
    <w:rsid w:val="00414997"/>
    <w:rsid w:val="00484E76"/>
    <w:rsid w:val="005A1613"/>
    <w:rsid w:val="005B5860"/>
    <w:rsid w:val="005C3649"/>
    <w:rsid w:val="005D5D48"/>
    <w:rsid w:val="005F3887"/>
    <w:rsid w:val="00616F7E"/>
    <w:rsid w:val="00662200"/>
    <w:rsid w:val="00707125"/>
    <w:rsid w:val="00710C5A"/>
    <w:rsid w:val="00782777"/>
    <w:rsid w:val="007E51B2"/>
    <w:rsid w:val="007F6F8B"/>
    <w:rsid w:val="00814209"/>
    <w:rsid w:val="0082495A"/>
    <w:rsid w:val="008F6590"/>
    <w:rsid w:val="0091121F"/>
    <w:rsid w:val="00924107"/>
    <w:rsid w:val="00940F25"/>
    <w:rsid w:val="009E6A09"/>
    <w:rsid w:val="00A11360"/>
    <w:rsid w:val="00AB6F4F"/>
    <w:rsid w:val="00AF291B"/>
    <w:rsid w:val="00B27411"/>
    <w:rsid w:val="00B42E7C"/>
    <w:rsid w:val="00B842BD"/>
    <w:rsid w:val="00C11E74"/>
    <w:rsid w:val="00CC7070"/>
    <w:rsid w:val="00DB36AC"/>
    <w:rsid w:val="00DD05EF"/>
    <w:rsid w:val="00E178D1"/>
    <w:rsid w:val="00E31DBA"/>
    <w:rsid w:val="00F57285"/>
    <w:rsid w:val="00F62CC9"/>
    <w:rsid w:val="00F63C22"/>
    <w:rsid w:val="00F6664B"/>
    <w:rsid w:val="00FC7DAB"/>
    <w:rsid w:val="00FF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C045"/>
  <w15:docId w15:val="{76F50BFF-604E-864E-84D5-A63628A5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Helvetica" w:eastAsia="Helvetica" w:hAnsi="Helvetica" w:cs="Helvetica"/>
    </w:rPr>
  </w:style>
  <w:style w:type="paragraph" w:styleId="Footer">
    <w:name w:val="footer"/>
    <w:basedOn w:val="Normal"/>
    <w:link w:val="FooterChar"/>
    <w:uiPriority w:val="99"/>
    <w:unhideWhenUsed/>
    <w:rsid w:val="002C242F"/>
    <w:pPr>
      <w:tabs>
        <w:tab w:val="center" w:pos="4680"/>
        <w:tab w:val="right" w:pos="9360"/>
      </w:tabs>
    </w:pPr>
  </w:style>
  <w:style w:type="character" w:customStyle="1" w:styleId="FooterChar">
    <w:name w:val="Footer Char"/>
    <w:basedOn w:val="DefaultParagraphFont"/>
    <w:link w:val="Footer"/>
    <w:uiPriority w:val="99"/>
    <w:rsid w:val="002C242F"/>
  </w:style>
  <w:style w:type="character" w:styleId="PageNumber">
    <w:name w:val="page number"/>
    <w:basedOn w:val="DefaultParagraphFont"/>
    <w:uiPriority w:val="99"/>
    <w:semiHidden/>
    <w:unhideWhenUsed/>
    <w:rsid w:val="002C242F"/>
  </w:style>
  <w:style w:type="character" w:styleId="CommentReference">
    <w:name w:val="annotation reference"/>
    <w:basedOn w:val="DefaultParagraphFont"/>
    <w:uiPriority w:val="99"/>
    <w:semiHidden/>
    <w:unhideWhenUsed/>
    <w:rsid w:val="002C242F"/>
    <w:rPr>
      <w:sz w:val="16"/>
      <w:szCs w:val="16"/>
    </w:rPr>
  </w:style>
  <w:style w:type="paragraph" w:styleId="CommentText">
    <w:name w:val="annotation text"/>
    <w:basedOn w:val="Normal"/>
    <w:link w:val="CommentTextChar"/>
    <w:uiPriority w:val="99"/>
    <w:semiHidden/>
    <w:unhideWhenUsed/>
    <w:rsid w:val="00DB36AC"/>
    <w:rPr>
      <w:sz w:val="20"/>
      <w:szCs w:val="20"/>
    </w:rPr>
  </w:style>
  <w:style w:type="character" w:customStyle="1" w:styleId="CommentTextChar">
    <w:name w:val="Comment Text Char"/>
    <w:basedOn w:val="DefaultParagraphFont"/>
    <w:link w:val="CommentText"/>
    <w:uiPriority w:val="99"/>
    <w:semiHidden/>
    <w:rsid w:val="00DB36AC"/>
    <w:rPr>
      <w:sz w:val="20"/>
      <w:szCs w:val="20"/>
    </w:rPr>
  </w:style>
  <w:style w:type="paragraph" w:styleId="CommentSubject">
    <w:name w:val="annotation subject"/>
    <w:basedOn w:val="CommentText"/>
    <w:next w:val="CommentText"/>
    <w:link w:val="CommentSubjectChar"/>
    <w:uiPriority w:val="99"/>
    <w:semiHidden/>
    <w:unhideWhenUsed/>
    <w:rsid w:val="00DB36AC"/>
    <w:rPr>
      <w:b/>
      <w:bCs/>
    </w:rPr>
  </w:style>
  <w:style w:type="character" w:customStyle="1" w:styleId="CommentSubjectChar">
    <w:name w:val="Comment Subject Char"/>
    <w:basedOn w:val="CommentTextChar"/>
    <w:link w:val="CommentSubject"/>
    <w:uiPriority w:val="99"/>
    <w:semiHidden/>
    <w:rsid w:val="00DB36AC"/>
    <w:rPr>
      <w:b/>
      <w:bCs/>
      <w:sz w:val="20"/>
      <w:szCs w:val="20"/>
    </w:rPr>
  </w:style>
  <w:style w:type="paragraph" w:styleId="NormalWeb">
    <w:name w:val="Normal (Web)"/>
    <w:basedOn w:val="Normal"/>
    <w:uiPriority w:val="99"/>
    <w:semiHidden/>
    <w:unhideWhenUsed/>
    <w:rsid w:val="007071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698E0A9FC5544882DCF6E56D48B21" ma:contentTypeVersion="13" ma:contentTypeDescription="Create a new document." ma:contentTypeScope="" ma:versionID="8d6027828198a41265e4cf73a545bedf">
  <xsd:schema xmlns:xsd="http://www.w3.org/2001/XMLSchema" xmlns:xs="http://www.w3.org/2001/XMLSchema" xmlns:p="http://schemas.microsoft.com/office/2006/metadata/properties" xmlns:ns2="1797b8c5-1b60-46b7-8f54-1880ad985d65" xmlns:ns3="f6255407-82d2-4801-9d67-5e8b0c684425" targetNamespace="http://schemas.microsoft.com/office/2006/metadata/properties" ma:root="true" ma:fieldsID="89a724ed2710ef721f520a88035a1aed" ns2:_="" ns3:_="">
    <xsd:import namespace="1797b8c5-1b60-46b7-8f54-1880ad985d65"/>
    <xsd:import namespace="f6255407-82d2-4801-9d67-5e8b0c6844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7b8c5-1b60-46b7-8f54-1880ad985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911e0e-a8dc-4d18-aa75-63e2ffe395c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55407-82d2-4801-9d67-5e8b0c6844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49c2a3-03ee-4ac0-b8e6-b3657186af54}" ma:internalName="TaxCatchAll" ma:showField="CatchAllData" ma:web="f6255407-82d2-4801-9d67-5e8b0c684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55407-82d2-4801-9d67-5e8b0c684425" xsi:nil="true"/>
    <lcf76f155ced4ddcb4097134ff3c332f xmlns="1797b8c5-1b60-46b7-8f54-1880ad985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2A29A-B223-4F7C-8D4F-888ED1848B76}"/>
</file>

<file path=customXml/itemProps2.xml><?xml version="1.0" encoding="utf-8"?>
<ds:datastoreItem xmlns:ds="http://schemas.openxmlformats.org/officeDocument/2006/customXml" ds:itemID="{F28366AC-9AA7-4143-BE1F-2B8929E916A5}"/>
</file>

<file path=customXml/itemProps3.xml><?xml version="1.0" encoding="utf-8"?>
<ds:datastoreItem xmlns:ds="http://schemas.openxmlformats.org/officeDocument/2006/customXml" ds:itemID="{93CA7857-D2AF-4964-8E50-72C984BD2FC8}"/>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6306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Miller</dc:creator>
  <cp:lastModifiedBy>Kay Moyer</cp:lastModifiedBy>
  <cp:revision>2</cp:revision>
  <dcterms:created xsi:type="dcterms:W3CDTF">2025-11-14T15:52:00Z</dcterms:created>
  <dcterms:modified xsi:type="dcterms:W3CDTF">2025-11-14T15:52:00Z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for Microsoft 365</vt:lpwstr>
  </property>
  <property fmtid="{D5CDD505-2E9C-101B-9397-08002B2CF9AE}" pid="4" name="LastSaved">
    <vt:filetime>2025-10-21T00:00:00Z</vt:filetime>
  </property>
  <property fmtid="{D5CDD505-2E9C-101B-9397-08002B2CF9AE}" pid="5" name="Producer">
    <vt:lpwstr>Microsoft® Word for Microsoft 365</vt:lpwstr>
  </property>
  <property fmtid="{D5CDD505-2E9C-101B-9397-08002B2CF9AE}" pid="6" name="ContentTypeId">
    <vt:lpwstr>0x010100A75698E0A9FC5544882DCF6E56D48B21</vt:lpwstr>
  </property>
</Properties>
</file>